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ITIL (Information Technology Infrastructure Library Biblioteca de Infraestrutura de TI)</w:t>
      </w:r>
    </w:p>
    <w:p w:rsidR="00000000" w:rsidDel="00000000" w:rsidP="00000000" w:rsidRDefault="00000000" w:rsidRPr="00000000" w14:paraId="00000002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Foi desenvolvido pela CCTA (Central Computer and Telecommunications Agency) no final da década de 80, foi criado devido à insatisfação do governo britânico com o nível da qualidade dos serviços de TI. Se trata de um meio de possibilitar a colaboração na criação de valor facilitando os resultados que os clientes desejam alcançar, sem que o cliente tenha que gerenciar custos e riscos específicos, e é considerado padrão para gerenciamento de serviços de TI.</w:t>
      </w:r>
    </w:p>
    <w:p w:rsidR="00000000" w:rsidDel="00000000" w:rsidP="00000000" w:rsidRDefault="00000000" w:rsidRPr="00000000" w14:paraId="00000003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Existem 5 etapas para implementação do ITIL, são elas:</w:t>
      </w:r>
    </w:p>
    <w:p w:rsidR="00000000" w:rsidDel="00000000" w:rsidP="00000000" w:rsidRDefault="00000000" w:rsidRPr="00000000" w14:paraId="00000005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firstLine="566.9291338582675"/>
        <w:rPr/>
      </w:pPr>
      <w:r w:rsidDel="00000000" w:rsidR="00000000" w:rsidRPr="00000000">
        <w:rPr>
          <w:b w:val="1"/>
          <w:rtl w:val="0"/>
        </w:rPr>
        <w:t xml:space="preserve">estratégia de serviço -</w:t>
      </w:r>
      <w:r w:rsidDel="00000000" w:rsidR="00000000" w:rsidRPr="00000000">
        <w:rPr>
          <w:rtl w:val="0"/>
        </w:rPr>
        <w:t xml:space="preserve"> Visualiza o gerenciamento de serviços como um ativo estratégico, pois tem foco no valor que o serviço oferece para o negócio. </w:t>
      </w:r>
    </w:p>
    <w:p w:rsidR="00000000" w:rsidDel="00000000" w:rsidP="00000000" w:rsidRDefault="00000000" w:rsidRPr="00000000" w14:paraId="00000007">
      <w:pPr>
        <w:spacing w:line="276" w:lineRule="auto"/>
        <w:ind w:firstLine="566.9291338582675"/>
        <w:rPr/>
      </w:pPr>
      <w:r w:rsidDel="00000000" w:rsidR="00000000" w:rsidRPr="00000000">
        <w:rPr>
          <w:b w:val="1"/>
          <w:rtl w:val="0"/>
        </w:rPr>
        <w:t xml:space="preserve">desenho de serviço -</w:t>
      </w:r>
      <w:r w:rsidDel="00000000" w:rsidR="00000000" w:rsidRPr="00000000">
        <w:rPr>
          <w:rtl w:val="0"/>
        </w:rPr>
        <w:t xml:space="preserve"> Utilizado para orientação para o desenho, desenvolvimento e gerenciamento dos serviços, também auxilia em mudanças e melhorias necessárias para manter ou agregar valor aos clientes ao longo do ciclo de vida do serviço.</w:t>
      </w:r>
    </w:p>
    <w:p w:rsidR="00000000" w:rsidDel="00000000" w:rsidP="00000000" w:rsidRDefault="00000000" w:rsidRPr="00000000" w14:paraId="00000008">
      <w:pPr>
        <w:spacing w:line="276" w:lineRule="auto"/>
        <w:ind w:firstLine="566.9291338582675"/>
        <w:rPr/>
      </w:pPr>
      <w:r w:rsidDel="00000000" w:rsidR="00000000" w:rsidRPr="00000000">
        <w:rPr>
          <w:b w:val="1"/>
          <w:rtl w:val="0"/>
        </w:rPr>
        <w:t xml:space="preserve">transição de serviço -</w:t>
      </w:r>
      <w:r w:rsidDel="00000000" w:rsidR="00000000" w:rsidRPr="00000000">
        <w:rPr>
          <w:rtl w:val="0"/>
        </w:rPr>
        <w:t xml:space="preserve"> Seu objetivo é colocar no ambiente de produção um serviço que acabou de sair do estágio de Desenho de Serviço.</w:t>
      </w:r>
    </w:p>
    <w:p w:rsidR="00000000" w:rsidDel="00000000" w:rsidP="00000000" w:rsidRDefault="00000000" w:rsidRPr="00000000" w14:paraId="00000009">
      <w:pPr>
        <w:spacing w:line="276" w:lineRule="auto"/>
        <w:ind w:firstLine="566.9291338582675"/>
        <w:rPr/>
      </w:pPr>
      <w:r w:rsidDel="00000000" w:rsidR="00000000" w:rsidRPr="00000000">
        <w:rPr>
          <w:b w:val="1"/>
          <w:rtl w:val="0"/>
        </w:rPr>
        <w:t xml:space="preserve">operação de serviço - </w:t>
      </w:r>
      <w:r w:rsidDel="00000000" w:rsidR="00000000" w:rsidRPr="00000000">
        <w:rPr>
          <w:rtl w:val="0"/>
        </w:rPr>
        <w:t xml:space="preserve">Essa etapa é responsável pelas atividades do dia a dia, orientando sobre como garantir a entrega e o suporte a serviços de forma eficiente e eficaz em ambientes de TI operacionais.</w:t>
      </w:r>
    </w:p>
    <w:p w:rsidR="00000000" w:rsidDel="00000000" w:rsidP="00000000" w:rsidRDefault="00000000" w:rsidRPr="00000000" w14:paraId="0000000A">
      <w:pPr>
        <w:spacing w:line="276" w:lineRule="auto"/>
        <w:ind w:firstLine="566.9291338582675"/>
        <w:rPr/>
      </w:pPr>
      <w:r w:rsidDel="00000000" w:rsidR="00000000" w:rsidRPr="00000000">
        <w:rPr>
          <w:b w:val="1"/>
          <w:rtl w:val="0"/>
        </w:rPr>
        <w:t xml:space="preserve">melhoria de serviços continuada - </w:t>
      </w:r>
      <w:r w:rsidDel="00000000" w:rsidR="00000000" w:rsidRPr="00000000">
        <w:rPr>
          <w:rtl w:val="0"/>
        </w:rPr>
        <w:t xml:space="preserve">Orienta sobre como fazer sistematicamente melhorias incrementais e de larga escala na qualidade do serviço.</w:t>
      </w:r>
    </w:p>
    <w:p w:rsidR="00000000" w:rsidDel="00000000" w:rsidP="00000000" w:rsidRDefault="00000000" w:rsidRPr="00000000" w14:paraId="0000000B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Organizações relatam melhoras como:</w:t>
      </w:r>
    </w:p>
    <w:p w:rsidR="00000000" w:rsidDel="00000000" w:rsidP="00000000" w:rsidRDefault="00000000" w:rsidRPr="00000000" w14:paraId="0000000D">
      <w:pPr>
        <w:spacing w:line="276" w:lineRule="auto"/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Corte dos custos operacionais de 6% a 8%.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Redução de 10% na quantidade de chamadas do help desk.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Redução de 40% nos custos de suporte.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Aumento da taxa de atingimento do tempo de resposta para incidentes em serviços relacionados à Internet, de 60% para 90%.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Reduções superiores a 40% na indisponibilidade dos sistemas.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Aumento significativo no ROI dos serviços de TI.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Economia da ordem de grandeza de centenas de milhares de dólares.</w:t>
      </w:r>
    </w:p>
    <w:p w:rsidR="00000000" w:rsidDel="00000000" w:rsidP="00000000" w:rsidRDefault="00000000" w:rsidRPr="00000000" w14:paraId="00000015">
      <w:p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Além de resultados qualitativos como:</w:t>
      </w:r>
    </w:p>
    <w:p w:rsidR="00000000" w:rsidDel="00000000" w:rsidP="00000000" w:rsidRDefault="00000000" w:rsidRPr="00000000" w14:paraId="00000017">
      <w:pPr>
        <w:spacing w:line="276" w:lineRule="auto"/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Melhoria da satisfação dos clientes.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Redução gradativa dos custos de treinamento, principalmente se o padrão ITIL se tornar corporativo.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Melhoria da disponibilidade dos sistemas e aplicações.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Melhoria da produtividade das equipes de serviços (já que todos os envolvidos conhecem seus papéis e responsabilidades).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Redução dos custos relacionados aos incidentes e problemas, devido à detecção e eliminação antecipada.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Redução dos custos indiretos que influenciam substancialmente o custo total de propriedade (manutenção, suporte etc.).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 utilização dos recursos de TI.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Maior clareza no custeio dos serviços.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Aplicação de uma visão organizacional ao trabalho dos indivíduos.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Melhoria da satisfação interna dos colaboradores.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Redução da rotatividade dos colaboradores.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Também podem ser obtidos benefícios adicionais como:</w:t>
      </w:r>
    </w:p>
    <w:p w:rsidR="00000000" w:rsidDel="00000000" w:rsidP="00000000" w:rsidRDefault="00000000" w:rsidRPr="00000000" w14:paraId="00000025">
      <w:pPr>
        <w:spacing w:line="276" w:lineRule="auto"/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Subsídios concretos para justificar investimentos em TI (através de fatos e dados extraídos da própria organização).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Maior clareza na demonstração do retorno sobre os investimentos (ROI) e do valor dos investimentos (VOI) nos serviços de TI.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Visão clara do Portfólio de Serviços, como ferramenta estratégica de priorização dos investimentos nos serviços de TI.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Maior flexibilidade para adaptação às organizações de vários tipos e níveis de maturidade.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Aumento da convergência com outros modelos de melhores práticas em uso no mercado.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Direcionamento da TI para a integração (e não simplesmente o alinhamento) com o negócio, com base no valor que ela representa.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Medições de desempenho dos serviços e de seus componentes, desdobradas com base no valor do negócio.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Relação direta entre os ativos de serviços de TI e os serviços do negócio.</w:t>
      </w:r>
    </w:p>
    <w:p w:rsidR="00000000" w:rsidDel="00000000" w:rsidP="00000000" w:rsidRDefault="00000000" w:rsidRPr="00000000" w14:paraId="0000002E">
      <w:pPr>
        <w:spacing w:line="276" w:lineRule="auto"/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ISO/IEC 20000</w:t>
      </w:r>
    </w:p>
    <w:p w:rsidR="00000000" w:rsidDel="00000000" w:rsidP="00000000" w:rsidRDefault="00000000" w:rsidRPr="00000000" w14:paraId="00000035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O objetivo é estabelecer um padrão para o Gerenciamento de Serviços de TI, padronizando conceitos e processos para que os provedores de serviços de TI possam entender como planejar, executar, verificar e melhorar continuamente a qualidade dos serviços entregues. A norma visa garantir a conformidade com requisitos estabelecidos pelo negócio e pelos clientes. Pode ser utilizada em conjunto com outras normas, como a ISO 9001:2000 e a ISO/IEC 27001, com foco específico no Gerenciamento de Serviços de TI.</w:t>
      </w:r>
    </w:p>
    <w:p w:rsidR="00000000" w:rsidDel="00000000" w:rsidP="00000000" w:rsidRDefault="00000000" w:rsidRPr="00000000" w14:paraId="00000037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A norma ISO/IEC 20000 é uma ferramenta fundamental para as organizações de Tecnologia da Informação (TI) que buscam garantir a qualidade e eficácia de seus serviços. Ela oferece um conjunto de diretrizes e requisitos que auxiliam na implementação e melhoria contínua dos processos de gerenciamento de serviços de TI, alinhados com as práticas recomendadas pela ITIL (Information Technology Infrastructure Library).</w:t>
      </w:r>
    </w:p>
    <w:p w:rsidR="00000000" w:rsidDel="00000000" w:rsidP="00000000" w:rsidRDefault="00000000" w:rsidRPr="00000000" w14:paraId="00000038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Ao adotar a ISO/IEC 20000, as organizações têm a oportunidade de certificar seus processos de gerenciamento de serviços, demonstrando seu compromisso com a excelência operacional e a satisfação do cliente. Isso pode ser particularmente relevante em um contexto onde a prestação de serviços de TI é essencial para o funcionamento eficaz de diversas organizações e setores.</w:t>
      </w:r>
    </w:p>
    <w:p w:rsidR="00000000" w:rsidDel="00000000" w:rsidP="00000000" w:rsidRDefault="00000000" w:rsidRPr="00000000" w14:paraId="00000039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A norma não apenas define os requisitos para a entrega de serviços de TI, mas também estabelece diretrizes para o gerenciamento de contratos, níveis de serviço e melhoria contínua. Ela é flexível o suficiente para se adaptar a diferentes contextos organizacionais e pode ser aplicada tanto a empresas especializadas em serviços de TI quanto a departamentos de TI internos em outras organizações.</w:t>
      </w:r>
    </w:p>
    <w:p w:rsidR="00000000" w:rsidDel="00000000" w:rsidP="00000000" w:rsidRDefault="00000000" w:rsidRPr="00000000" w14:paraId="0000003A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Além disso, a ISO/IEC 20000 pode ser combinada com outras normas, como a ISO 9001, permitindo uma abordagem integrada à gestão da qualidade e dos serviços de TI. Isso proporciona sinergias entre os sistemas de gestão existentes e simplifica o processo de certificação para as organizações que já possuem certificações prévias.</w:t>
      </w:r>
    </w:p>
    <w:p w:rsidR="00000000" w:rsidDel="00000000" w:rsidP="00000000" w:rsidRDefault="00000000" w:rsidRPr="00000000" w14:paraId="0000003B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No mercado brasileiro, a certificação ISO/IEC 20000 tem se tornado cada vez mais relevante, sendo frequentemente solicitada em processos de licitação e contratação de serviços de TI. As organizações que obtêm essa certificação demonstram não apenas conformidade com padrões internacionais, mas também um compromisso com a entrega consistente de serviços de qualidade e a busca pela melhoria contínua. Isso pode servir como um diferencial competitivo significativo, aumentando a confiança dos clientes e abrindo novas oportunidades de negócios.</w:t>
      </w:r>
    </w:p>
    <w:p w:rsidR="00000000" w:rsidDel="00000000" w:rsidP="00000000" w:rsidRDefault="00000000" w:rsidRPr="00000000" w14:paraId="0000003C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Dentre os benefícios que se obtém utilizando esse modelo, podemos destacar:</w:t>
      </w:r>
    </w:p>
    <w:p w:rsidR="00000000" w:rsidDel="00000000" w:rsidP="00000000" w:rsidRDefault="00000000" w:rsidRPr="00000000" w14:paraId="0000003E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Demonstração clara de confiabilidade e consistência nos serviços de TI, atributos cruciais para a sobrevivência do negócio e para o seu potencial crescimento.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Melhoria na comunicação interna, devido à maior proximidade e sinergia entre a alta administração e as equipes que atuam no gerenciamento dos serviços de TI.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Maior comprometimento por parte de todas as áreas e profissionais envolvidos, devido ao estabelecimento claro de responsabilidades pelos processos.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Aumento da produtividade das equipes, devido ao estabelecimento de políticas e processos que precisam ser conhecidos por todos os envolvidos.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 aproveitamento das habilidades dos profissionais envolvidos nos processos, em sintonia com as competências requeridas para a sua execução.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Estabelecimento de uma cultura formal de melhoria contínua dos serviços de TI, sempre alinhada às necessidades do negócio e dos clientes.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Redução do time-to-market de novos serviços e de modificações nos serviços existentes.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Maior previsibilidade para os resultados dos serviços, dada a ênfase que a norma atribui às atividades de planejamento e orçamento.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Maior acurácia dos relatórios de serviços, subsidiando com maior precisão a tomada de decisões relacionadas ao negócio.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Entrega dos serviços de TI para o cliente com maior transparência e uniformidade, através de mecanismos de integração da cadeia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de fornecimento, englobando tanto fornecedores diretos como subcontratados.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Maior efetividade no controle dos riscos relacionados à operação dos serviços.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Melhoria da imagem da organização de TI e da qualidade percebida dos seus serviços por parte de seus clientes e fornecedores.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Possibilidade de estabelecimento de um sistema integrado de gestão, através da operação conjunta com outras normas, tais como a ISO 9001:2000 e a ISO/IEC 17799.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Estabelecimento de um mecanismo para educação e aumento da conscientização das equipes através das auditorias regulares de certificação.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A certificação obtida através de auditores qualificados e independentes pode ser considerada uma referência no mercado, em relação à utilização das melhores práticas de gerenciamento de serviços de TI.</w:t>
      </w:r>
    </w:p>
    <w:p w:rsidR="00000000" w:rsidDel="00000000" w:rsidP="00000000" w:rsidRDefault="00000000" w:rsidRPr="00000000" w14:paraId="0000004F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Dentre as atividades e tarefas recomendadas para este projeto, destacam-se:</w:t>
      </w:r>
    </w:p>
    <w:p w:rsidR="00000000" w:rsidDel="00000000" w:rsidP="00000000" w:rsidRDefault="00000000" w:rsidRPr="00000000" w14:paraId="00000051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Definição clara do escopo da certificação, ou seja, qual(is) serviço(s) e/ou operação(ões) da organização estará(ão) sujeita(s) à verificação de aderência aos requisitos da norma.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Estabelecimento de uma equipe para conduzir o projeto, com um coordenador formal e devidamente treinado na interpretação da norma e nos princípios de gerenciamento de serviços de TI.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Realização de uma análise prévia dos processos atuais (gap analysis) para identificar o grau de aderência aos requisitos da norma, como subsídio para o planejamento das ações de melhoria dentro do projeto.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Execução de ações corretivas e preventivas sobre os processos relacionados ao gerenciamento de serviços de TI, visando corrigir as deficiências e mitigar os riscos potenciais existentes.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Capacitação dos colaboradores envolvidos com os serviços e operações integrantes do escopo de certificação, acerca dos processos de gerenciamento de serviços de TI.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Realização de auditorias internas para avaliação do progresso do projeto.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153.07086614173244"/>
        <w:rPr/>
      </w:pPr>
      <w:r w:rsidDel="00000000" w:rsidR="00000000" w:rsidRPr="00000000">
        <w:rPr>
          <w:rtl w:val="0"/>
        </w:rPr>
        <w:t xml:space="preserve">Estabelecimento e reforço permanente da cultura de melhoria contínua, utilizando as não conformidades encontradas e as ações corretivas correspondentes como alavancadores motivacionais dos colaboradores.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