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F2 — Internacionalização Foundation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t xml:space="preserve">Etapa 2 de 5 de PM-NIGHT-RUN-01. Base: </w:t>
      </w:r>
      <w:r>
        <w:rPr>
          <w:rFonts w:ascii="Consolas" w:cs="Consolas" w:eastAsia="Consolas" w:hAnsi="Consolas"/>
          <w:color w:val="AA0000"/>
        </w:rPr>
        <w:t xml:space="preserve">docs/PM_NIGHT_RUN_01_MASTER.md</w:t>
      </w:r>
      <w:r>
        <w:t xml:space="preserve"> (Etapa 1), </w:t>
      </w:r>
      <w:r>
        <w:rPr>
          <w:rFonts w:ascii="Consolas" w:cs="Consolas" w:eastAsia="Consolas" w:hAnsi="Consolas"/>
          <w:color w:val="AA0000"/>
        </w:rPr>
        <w:t xml:space="preserve">docs/PM_CRM_FIN_ARCH_01.md</w:t>
      </w:r>
      <w:r>
        <w:t xml:space="preserve"> (contratos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 já existentes).</w:t>
      </w:r>
    </w:p>
    <w:p>
      <w:pPr>
        <w:pStyle w:val="Heading2"/>
        <w:spacing w:after="120" w:before="260"/>
      </w:pPr>
      <w:r>
        <w:t xml:space="preserve">1. Objetivo</w:t>
      </w:r>
    </w:p>
    <w:p>
      <w:pPr>
        <w:spacing w:after="120"/>
      </w:pPr>
      <w:r>
        <w:t xml:space="preserve">Preparar arquitetura para Country/Market/Language/Currency/Timezone/Locale, começando por Brasil (PT-BR/BRL) e Portugal (PT-PT/EUR), </w:t>
      </w:r>
      <w:r>
        <w:rPr>
          <w:b/>
          <w:bCs/>
        </w:rPr>
        <w:t xml:space="preserve">sem</w:t>
      </w:r>
      <w:r>
        <w:t xml:space="preserve"> implementar fiscalidade portuguesa.</w:t>
      </w:r>
    </w:p>
    <w:p>
      <w:pPr>
        <w:pStyle w:val="Heading2"/>
        <w:spacing w:after="120" w:before="260"/>
      </w:pPr>
      <w:r>
        <w:t xml:space="preserve">2. Estado inicial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CountryPack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existiam só como contratos TypeScript (PM-CRM-FIN-ARCH-01), sem consumidor real. Formatação de moeda/data no CRM tinha </w:t>
      </w:r>
      <w:r>
        <w:rPr>
          <w:rFonts w:ascii="Consolas" w:cs="Consolas" w:eastAsia="Consolas" w:hAnsi="Consolas"/>
          <w:color w:val="AA0000"/>
        </w:rPr>
        <w:t xml:space="preserve">"pt-BR"</w:t>
      </w:r>
      <w:r>
        <w:t xml:space="preserve"> hardcoded em 3 arquivos (</w:t>
      </w:r>
      <w:r>
        <w:rPr>
          <w:rFonts w:ascii="Consolas" w:cs="Consolas" w:eastAsia="Consolas" w:hAnsi="Consolas"/>
          <w:color w:val="AA0000"/>
        </w:rPr>
        <w:t xml:space="preserve">leads/page.tsx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gates/page.tsx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jobs/page.tsx</w:t>
      </w:r>
      <w:r>
        <w:t xml:space="preserve">), mesmo já recebendo </w:t>
      </w:r>
      <w:r>
        <w:rPr>
          <w:rFonts w:ascii="Consolas" w:cs="Consolas" w:eastAsia="Consolas" w:hAnsi="Consolas"/>
          <w:color w:val="AA0000"/>
        </w:rPr>
        <w:t xml:space="preserve">currency</w:t>
      </w:r>
      <w:r>
        <w:t xml:space="preserve"> dinâmico em um dos casos — achado real desta etapa.</w:t>
      </w:r>
    </w:p>
    <w:p>
      <w:pPr>
        <w:pStyle w:val="Heading2"/>
        <w:spacing w:after="120" w:before="260"/>
      </w:pPr>
      <w:r>
        <w:t xml:space="preserve">3. Decisão — Market e LegalEntity NÃO promovidos a tabela</w:t>
      </w:r>
    </w:p>
    <w:p>
      <w:pPr>
        <w:spacing w:after="120"/>
      </w:pPr>
      <w:r>
        <w:t xml:space="preserve">Avaliado explicitamente (seções 13/14 da autorização): </w:t>
      </w:r>
      <w:r>
        <w:rPr>
          <w:b/>
          <w:bCs/>
        </w:rPr>
        <w:t xml:space="preserve">nenhum consumidor real</w:t>
      </w:r>
      <w:r>
        <w:t xml:space="preserve"> exige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 como entidade persistida nesta rodada — nenhuma tela permite hoje escolher/configurar múltiplos mercados por tenant, nenhuma feature de Finance Core/Proposal (etapas futuras) foi construída ainda pra precisar de uma FK real. Promover agora seria antecipar consumo especulativo. </w:t>
      </w:r>
      <w:r>
        <w:rPr>
          <w:b/>
          <w:bCs/>
        </w:rPr>
        <w:t xml:space="preserve">Mantidos como contrato TypeScript.</w:t>
      </w:r>
      <w:r>
        <w:t xml:space="preserve"> Reavaliar quando Etapa 4 (Finance Core Foundation 02) ou Etapa 5 (Proposal Foundation) tiverem um caso de uso concreto.</w:t>
      </w:r>
    </w:p>
    <w:p>
      <w:pPr>
        <w:pStyle w:val="Heading2"/>
        <w:spacing w:after="120" w:before="260"/>
      </w:pPr>
      <w:r>
        <w:t xml:space="preserve">4. O que foi construído de verdade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packages/db/src/i18n/</w:t>
      </w:r>
      <w:r>
        <w:t xml:space="preserve"> (novo):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locales.ts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LocaleDef</w:t>
      </w:r>
      <w:r>
        <w:t xml:space="preserve"> (market/language/currency/timezone, tipos distintos — </w:t>
      </w:r>
      <w:r>
        <w:rPr>
          <w:rFonts w:ascii="Consolas" w:cs="Consolas" w:eastAsia="Consolas" w:hAnsi="Consolas"/>
          <w:color w:val="AA0000"/>
        </w:rPr>
        <w:t xml:space="preserve">MarketCode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LanguageCode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CurrencyCode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TimezoneId</w:t>
      </w:r>
      <w:r>
        <w:t xml:space="preserve">), catálogo </w:t>
      </w:r>
      <w:r>
        <w:rPr>
          <w:rFonts w:ascii="Consolas" w:cs="Consolas" w:eastAsia="Consolas" w:hAnsi="Consolas"/>
          <w:color w:val="AA0000"/>
        </w:rPr>
        <w:t xml:space="preserve">LOCALES</w:t>
      </w:r>
      <w:r>
        <w:t xml:space="preserve"> com </w:t>
      </w:r>
      <w:r>
        <w:rPr>
          <w:b/>
          <w:bCs/>
        </w:rPr>
        <w:t xml:space="preserve">BR</w:t>
      </w:r>
      <w:r>
        <w:t xml:space="preserve"> (pt-BR/BRL/America/Sao_Paulo) e </w:t>
      </w:r>
      <w:r>
        <w:rPr>
          <w:b/>
          <w:bCs/>
        </w:rPr>
        <w:t xml:space="preserve">PT</w:t>
      </w:r>
      <w:r>
        <w:t xml:space="preserve"> (pt-PT/EUR/Europe/Lisbon), </w:t>
      </w:r>
      <w:r>
        <w:rPr>
          <w:rFonts w:ascii="Consolas" w:cs="Consolas" w:eastAsia="Consolas" w:hAnsi="Consolas"/>
          <w:color w:val="AA0000"/>
        </w:rPr>
        <w:t xml:space="preserve">resolverLocale(marketCode)</w:t>
      </w:r>
      <w:r>
        <w:t xml:space="preserve"> — nunca adivinha por idioma do navegador/IP, só resolve por código explícito, cai no default (BR) sem lançar erro pra mercado desconhecido.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format.ts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formatarMoeda(valor, currency, locale?)</w:t>
      </w:r>
      <w:r>
        <w:t xml:space="preserve"> (moeda sempre parâmetro explícito, nunca hardcoded) e </w:t>
      </w:r>
      <w:r>
        <w:rPr>
          <w:rFonts w:ascii="Consolas" w:cs="Consolas" w:eastAsia="Consolas" w:hAnsi="Consolas"/>
          <w:color w:val="AA0000"/>
        </w:rPr>
        <w:t xml:space="preserve">formatarDataHora(data, locale?, opts?)</w:t>
      </w:r>
      <w:r>
        <w:t xml:space="preserve"> (fuso sempre explícito no </w:t>
      </w:r>
      <w:r>
        <w:rPr>
          <w:rFonts w:ascii="Consolas" w:cs="Consolas" w:eastAsia="Consolas" w:hAnsi="Consolas"/>
          <w:color w:val="AA0000"/>
        </w:rPr>
        <w:t xml:space="preserve">Intl.DateTimeFormat</w:t>
      </w:r>
      <w:r>
        <w:t xml:space="preserve">, instante já é UTC internamente via Postgres/Prisma).</w:t>
      </w:r>
    </w:p>
    <w:p>
      <w:pPr>
        <w:spacing w:after="120"/>
      </w:pPr>
      <w:r>
        <w:rPr>
          <w:b/>
          <w:bCs/>
        </w:rPr>
        <w:t xml:space="preserve">Achado real corrigido no caminho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Intl.DateTimeFormat</w:t>
      </w:r>
      <w:r>
        <w:t xml:space="preserve"> não aceita </w:t>
      </w:r>
      <w:r>
        <w:rPr>
          <w:rFonts w:ascii="Consolas" w:cs="Consolas" w:eastAsia="Consolas" w:hAnsi="Consolas"/>
          <w:color w:val="AA0000"/>
        </w:rPr>
        <w:t xml:space="preserve">dateStyle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timeStyle</w:t>
      </w:r>
      <w:r>
        <w:t xml:space="preserve"> combinado com opções de componente (</w:t>
      </w:r>
      <w:r>
        <w:rPr>
          <w:rFonts w:ascii="Consolas" w:cs="Consolas" w:eastAsia="Consolas" w:hAnsi="Consolas"/>
          <w:color w:val="AA0000"/>
        </w:rPr>
        <w:t xml:space="preserve">hour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minute</w:t>
      </w:r>
      <w:r>
        <w:t xml:space="preserve">/...) — o teste pegou isso (</w:t>
      </w:r>
      <w:r>
        <w:rPr>
          <w:rFonts w:ascii="Consolas" w:cs="Consolas" w:eastAsia="Consolas" w:hAnsi="Consolas"/>
          <w:color w:val="AA0000"/>
        </w:rPr>
        <w:t xml:space="preserve">TypeError: Invalid option</w:t>
      </w:r>
      <w:r>
        <w:t xml:space="preserve">). Corrigido: quando </w:t>
      </w:r>
      <w:r>
        <w:rPr>
          <w:rFonts w:ascii="Consolas" w:cs="Consolas" w:eastAsia="Consolas" w:hAnsi="Consolas"/>
          <w:color w:val="AA0000"/>
        </w:rPr>
        <w:t xml:space="preserve">opts</w:t>
      </w:r>
      <w:r>
        <w:t xml:space="preserve"> é informado, substitui o padrão por completo em vez de fazer merge parcial.</w:t>
      </w:r>
    </w:p>
    <w:p>
      <w:pPr>
        <w:pStyle w:val="Heading2"/>
        <w:spacing w:after="120" w:before="260"/>
      </w:pPr>
      <w:r>
        <w:t xml:space="preserve">5. Timezone</w:t>
      </w:r>
    </w:p>
    <w:p>
      <w:pPr>
        <w:spacing w:after="120"/>
      </w:pPr>
      <w:r>
        <w:t xml:space="preserve">Princípio confirmado, não uma mudança de comportamento: </w:t>
      </w:r>
      <w:r>
        <w:rPr>
          <w:rFonts w:ascii="Consolas" w:cs="Consolas" w:eastAsia="Consolas" w:hAnsi="Consolas"/>
          <w:color w:val="AA0000"/>
        </w:rPr>
        <w:t xml:space="preserve">DateTime</w:t>
      </w:r>
      <w:r>
        <w:t xml:space="preserve"> do Prisma/Postgres já é UTC internamente (nenhuma alteração necessária no schema). O que estava faltando era a </w:t>
      </w:r>
      <w:r>
        <w:rPr>
          <w:b/>
          <w:bCs/>
        </w:rPr>
        <w:t xml:space="preserve">exibição</w:t>
      </w:r>
      <w:r>
        <w:t xml:space="preserve"> sempre com fuso explícito — corrigido nos 3 arquivos que formatavam data sem </w:t>
      </w:r>
      <w:r>
        <w:rPr>
          <w:rFonts w:ascii="Consolas" w:cs="Consolas" w:eastAsia="Consolas" w:hAnsi="Consolas"/>
          <w:color w:val="AA0000"/>
        </w:rPr>
        <w:t xml:space="preserve">timeZone</w:t>
      </w:r>
      <w:r>
        <w:t xml:space="preserve"> (dependiam implicitamente do fuso do processo Node rodando o servidor). Testado explicitamente: o mesmo instante UTC formatado com locale BR vs. PT produz textos de hora diferentes.</w:t>
      </w:r>
    </w:p>
    <w:p>
      <w:pPr>
        <w:pStyle w:val="Heading2"/>
        <w:spacing w:after="120" w:before="260"/>
      </w:pPr>
      <w:r>
        <w:t xml:space="preserve">6. Localização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pt-PT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pt-BR</w:t>
      </w:r>
      <w:r>
        <w:t xml:space="preserve"> distintos no catálogo — nunca tradução automática de texto, só o par idioma/moeda/fuso associado a um mercado. Nenhuma sugestão automática de mercado por IP/idioma do navegador foi implementada (e não deveria ser — mesmo princípio da seção 9 de PM-CRM-FIN-ARCH-01, "não escolher por idioma/IP/moeda do cliente" — aqui estendido: escolha de mercado sempre precisa ser explícita, nunca inferida).</w:t>
      </w:r>
    </w:p>
    <w:p>
      <w:pPr>
        <w:pStyle w:val="Heading2"/>
        <w:spacing w:after="120" w:before="260"/>
      </w:pPr>
      <w:r>
        <w:t xml:space="preserve">7. Currency</w:t>
      </w:r>
    </w:p>
    <w:p>
      <w:pPr>
        <w:spacing w:after="120"/>
      </w:pPr>
      <w:r>
        <w:t xml:space="preserve">Nenhuma mudança no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(contrato já existente, sem consumidor real ainda). Princípio câmbio ≠ preço reforçado: </w:t>
      </w:r>
      <w:r>
        <w:rPr>
          <w:rFonts w:ascii="Consolas" w:cs="Consolas" w:eastAsia="Consolas" w:hAnsi="Consolas"/>
          <w:color w:val="AA0000"/>
        </w:rPr>
        <w:t xml:space="preserve">formatarMoeda</w:t>
      </w:r>
      <w:r>
        <w:t xml:space="preserve"> recebe </w:t>
      </w:r>
      <w:r>
        <w:rPr>
          <w:rFonts w:ascii="Consolas" w:cs="Consolas" w:eastAsia="Consolas" w:hAnsi="Consolas"/>
          <w:color w:val="AA0000"/>
        </w:rPr>
        <w:t xml:space="preserve">currency</w:t>
      </w:r>
      <w:r>
        <w:t xml:space="preserve"> como parâmetro </w:t>
      </w:r>
      <w:r>
        <w:rPr>
          <w:b/>
          <w:bCs/>
        </w:rPr>
        <w:t xml:space="preserve">separado</w:t>
      </w:r>
      <w:r>
        <w:t xml:space="preserve"> do </w:t>
      </w:r>
      <w:r>
        <w:rPr>
          <w:rFonts w:ascii="Consolas" w:cs="Consolas" w:eastAsia="Consolas" w:hAnsi="Consolas"/>
          <w:color w:val="AA0000"/>
        </w:rPr>
        <w:t xml:space="preserve">locale</w:t>
      </w:r>
      <w:r>
        <w:t xml:space="preserve"> — o locale só formata (separador decimal, símbolo), nunca decide qual moeda usar.</w:t>
      </w:r>
    </w:p>
    <w:p>
      <w:pPr>
        <w:pStyle w:val="Heading2"/>
        <w:spacing w:after="120" w:before="260"/>
      </w:pPr>
      <w:r>
        <w:t xml:space="preserve">8. Portugal nesta etapa</w:t>
      </w:r>
    </w:p>
    <w:p>
      <w:pPr>
        <w:spacing w:after="120"/>
      </w:pPr>
      <w:r>
        <w:t xml:space="preserve">Exatamente o que a autorização define: </w:t>
      </w:r>
      <w:r>
        <w:rPr>
          <w:rFonts w:ascii="Consolas" w:cs="Consolas" w:eastAsia="Consolas" w:hAnsi="Consolas"/>
          <w:color w:val="AA0000"/>
        </w:rPr>
        <w:t xml:space="preserve">market: "PT"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language: "pt-PT"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currency: "EUR"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timezone: "Europe/Lisbon"</w:t>
      </w:r>
      <w:r>
        <w:t xml:space="preserve"> no catálogo. </w:t>
      </w:r>
      <w:r>
        <w:rPr>
          <w:b/>
          <w:bCs/>
        </w:rPr>
        <w:t xml:space="preserve">Zero</w:t>
      </w:r>
      <w:r>
        <w:t xml:space="preserve"> menção a IVA, AT, faturação, séries, SAF-T, regra contábil ou documento fiscal em qualquer arquivo desta etapa — confirmado, não presumido (nenhum desses termos aparece em </w:t>
      </w:r>
      <w:r>
        <w:rPr>
          <w:rFonts w:ascii="Consolas" w:cs="Consolas" w:eastAsia="Consolas" w:hAnsi="Consolas"/>
          <w:color w:val="AA0000"/>
        </w:rPr>
        <w:t xml:space="preserve">packages/db/src/i18n/</w:t>
      </w:r>
      <w:r>
        <w:t xml:space="preserve">).</w:t>
      </w:r>
    </w:p>
    <w:p>
      <w:pPr>
        <w:pStyle w:val="Heading2"/>
        <w:spacing w:after="120" w:before="260"/>
      </w:pPr>
      <w:r>
        <w:t xml:space="preserve">9. Implementação — arquivos alterados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packages/db/src/i18n/{locales.ts,format.ts,index.ts}</w:t>
      </w:r>
      <w:r>
        <w:t xml:space="preserve"> (novo) · </w:t>
      </w:r>
      <w:r>
        <w:rPr>
          <w:rFonts w:ascii="Consolas" w:cs="Consolas" w:eastAsia="Consolas" w:hAnsi="Consolas"/>
          <w:color w:val="AA0000"/>
        </w:rPr>
        <w:t xml:space="preserve">packages/db/src/index.ts</w:t>
      </w:r>
      <w:r>
        <w:t xml:space="preserve"> (+1 export) · </w:t>
      </w:r>
      <w:r>
        <w:rPr>
          <w:rFonts w:ascii="Consolas" w:cs="Consolas" w:eastAsia="Consolas" w:hAnsi="Consolas"/>
          <w:color w:val="AA0000"/>
        </w:rPr>
        <w:t xml:space="preserve">apps/web/src/app/(app)/{leads,gates,jobs}/page.tsx</w:t>
      </w:r>
      <w:r>
        <w:t xml:space="preserve"> (troca de </w:t>
      </w:r>
      <w:r>
        <w:rPr>
          <w:rFonts w:ascii="Consolas" w:cs="Consolas" w:eastAsia="Consolas" w:hAnsi="Consolas"/>
          <w:color w:val="AA0000"/>
        </w:rPr>
        <w:t xml:space="preserve">toLocaleString("pt-BR")</w:t>
      </w:r>
      <w:r>
        <w:t xml:space="preserve"> hardcoded por </w:t>
      </w:r>
      <w:r>
        <w:rPr>
          <w:rFonts w:ascii="Consolas" w:cs="Consolas" w:eastAsia="Consolas" w:hAnsi="Consolas"/>
          <w:color w:val="AA0000"/>
        </w:rPr>
        <w:t xml:space="preserve">formatarMoeda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formatarDataHora</w:t>
      </w:r>
      <w:r>
        <w:t xml:space="preserve">).</w:t>
      </w:r>
    </w:p>
    <w:p>
      <w:pPr>
        <w:pStyle w:val="Heading2"/>
        <w:spacing w:after="120" w:before="260"/>
      </w:pPr>
      <w:r>
        <w:t xml:space="preserve">10. Migrations</w:t>
      </w:r>
    </w:p>
    <w:p>
      <w:pPr>
        <w:spacing w:after="120"/>
      </w:pPr>
      <w:r>
        <w:rPr>
          <w:b/>
          <w:bCs/>
        </w:rPr>
        <w:t xml:space="preserve">Nenhuma</w:t>
      </w:r>
      <w:r>
        <w:t xml:space="preserve"> — Market/LegalEntity não promovidos (seção 3), i18n é só código. 26 migrations continuam, nenhuma nova.</w:t>
      </w:r>
    </w:p>
    <w:p>
      <w:pPr>
        <w:pStyle w:val="Heading2"/>
        <w:spacing w:after="120" w:before="260"/>
      </w:pPr>
      <w:r>
        <w:t xml:space="preserve">11. Segurança</w:t>
      </w:r>
    </w:p>
    <w:p>
      <w:pPr>
        <w:spacing w:after="120"/>
      </w:pPr>
      <w:r>
        <w:t xml:space="preserve">Nada tenant-scoped foi criado — sem superfície nova de RLS/IDOR nesta etapa.</w:t>
      </w:r>
    </w:p>
    <w:p>
      <w:pPr>
        <w:pStyle w:val="Heading2"/>
        <w:spacing w:after="120" w:before="260"/>
      </w:pPr>
      <w:r>
        <w:t xml:space="preserve">12. Testes</w:t>
      </w:r>
    </w:p>
    <w:p>
      <w:pPr>
        <w:spacing w:after="120"/>
      </w:pPr>
      <w:r>
        <w:t xml:space="preserve">9 novos (</w:t>
      </w:r>
      <w:r>
        <w:rPr>
          <w:rFonts w:ascii="Consolas" w:cs="Consolas" w:eastAsia="Consolas" w:hAnsi="Consolas"/>
          <w:color w:val="AA0000"/>
        </w:rPr>
        <w:t xml:space="preserve">packages/db/tests/unit/i18n.test.ts</w:t>
      </w:r>
      <w:r>
        <w:t xml:space="preserve">): resolução de locale (conhecido/desconhecido/null), separação real de idioma/moeda/fuso entre BR e PT, formatação de moeda com moeda≠locale, formatação de data com fuso explícito provando horas diferentes pro mesmo instante.</w:t>
      </w:r>
    </w:p>
    <w:p>
      <w:pPr>
        <w:pStyle w:val="Heading2"/>
        <w:spacing w:after="120" w:before="260"/>
      </w:pPr>
      <w:r>
        <w:t xml:space="preserve">13. Regressão</w:t>
      </w:r>
    </w:p>
    <w:p>
      <w:pPr>
        <w:spacing w:after="120"/>
      </w:pPr>
      <w:r>
        <w:rPr>
          <w:b/>
          <w:bCs/>
        </w:rPr>
        <w:t xml:space="preserve">297/297 passando</w:t>
      </w:r>
      <w:r>
        <w:t xml:space="preserve"> (212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, 85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 — 9 a mais que o baseline pós-T6 (288).</w:t>
      </w:r>
    </w:p>
    <w:p>
      <w:pPr>
        <w:pStyle w:val="Heading2"/>
        <w:spacing w:after="120" w:before="260"/>
      </w:pPr>
      <w:r>
        <w:t xml:space="preserve">14. Typecheck / Build</w:t>
      </w:r>
    </w:p>
    <w:p>
      <w:pPr>
        <w:spacing w:after="120"/>
      </w:pPr>
      <w:r>
        <w:t xml:space="preserve">Limpos nos dois pacotes. Build: exit 0, 16 rotas (sem rota nova).</w:t>
      </w:r>
    </w:p>
    <w:p>
      <w:pPr>
        <w:pStyle w:val="Heading2"/>
        <w:spacing w:after="120" w:before="260"/>
      </w:pPr>
      <w:r>
        <w:t xml:space="preserve">15. Dependências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16. Limitações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tela permite hoje escolher mercado por tenant — o catálogo existe e está testado, mas não há UI consumindo </w:t>
      </w:r>
      <w:r>
        <w:rPr>
          <w:rFonts w:ascii="Consolas" w:cs="Consolas" w:eastAsia="Consolas" w:hAnsi="Consolas"/>
          <w:color w:val="AA0000"/>
        </w:rPr>
        <w:t xml:space="preserve">resolverLocale</w:t>
      </w:r>
      <w:r>
        <w:t xml:space="preserve"> com um valor dinâmico ainda (todas as chamadas usam o default BR implicitamente). Fica pronto pra quando essa escolha for exposta.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&lt;html lang="pt-BR"&gt;</w:t>
      </w:r>
      <w:r>
        <w:t xml:space="preserve"> em </w:t>
      </w:r>
      <w:r>
        <w:rPr>
          <w:rFonts w:ascii="Consolas" w:cs="Consolas" w:eastAsia="Consolas" w:hAnsi="Consolas"/>
          <w:color w:val="AA0000"/>
        </w:rPr>
        <w:t xml:space="preserve">app/layout.tsx</w:t>
      </w:r>
      <w:r>
        <w:t xml:space="preserve"> não foi tocado — é o idioma do documento HTML servido, uma decisão de roteamento/i18n de UI mais ampla (qual domínio/rota serve qual mercado), fora do escopo de "foundation" desta etapa.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 público (</w:t>
      </w:r>
      <w:r>
        <w:rPr>
          <w:rFonts w:ascii="Consolas" w:cs="Consolas" w:eastAsia="Consolas" w:hAnsi="Consolas"/>
          <w:color w:val="AA0000"/>
        </w:rPr>
        <w:t xml:space="preserve">site-original/</w:t>
      </w:r>
      <w:r>
        <w:t xml:space="preserve">) não foi tocado — preços ali são conteúdo estático da página, não dado dinâmico do CRM.</w:t>
      </w:r>
    </w:p>
    <w:p>
      <w:pPr>
        <w:pStyle w:val="Heading2"/>
        <w:spacing w:after="120" w:before="260"/>
      </w:pPr>
      <w:r>
        <w:t xml:space="preserve">17. Decisões humanas pendentes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18. Resultado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implementação completa dentro do escopo, decisão de não promover Market/LegalEntity avaliada e justificada (não uma omissão), testes novos passando, regressão completa passando, typecheck/build limpos, nenhuma migration (logo nenhum risco de consistência), nenhuma vulnerabilidade introduzida, nenhuma decisão do fundador indispensável, relatório completo.</w:t>
      </w:r>
    </w:p>
    <w:p>
      <w:pPr>
        <w:pStyle w:val="Heading2"/>
        <w:spacing w:after="120" w:before="260"/>
      </w:pPr>
      <w:r>
        <w:t xml:space="preserve">19. Próximo bloco autorizado</w:t>
      </w:r>
    </w:p>
    <w:p>
      <w:pPr>
        <w:spacing w:after="120"/>
      </w:pPr>
      <w:r>
        <w:t xml:space="preserve">Etapa 3 — CRM Evolution 01.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2026-09-15T03:11:29.141Z</dcterms:created>
  <dcterms:modified xsi:type="dcterms:W3CDTF">2026-09-15T03:11:29.141Z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