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Finance Core Foundation 02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Etapa 4 de 5 — PM-NIGHT-RUN-01 (COMANDO DE EXECUÇÃO CONTINUADA CONTROLADA)</w:t>
      </w:r>
    </w:p>
    <w:p>
      <w:pPr>
        <w:spacing w:after="120"/>
      </w:pPr>
      <w:r>
        <w:t xml:space="preserve">Executada sob autorização já concedida ("SE CRM EVOLUTION = GREEN"), sem pausa para nova aprovação, conforme o comando vigente.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20"/>
      </w:pPr>
      <w:r>
        <w:t xml:space="preserve">Avaliar as 9 entidades do motor financeiro (</w:t>
      </w:r>
      <w:r>
        <w:rPr>
          <w:rFonts w:ascii="Consolas" w:cs="Consolas" w:eastAsia="Consolas" w:hAnsi="Consolas"/>
          <w:color w:val="AA0000"/>
        </w:rPr>
        <w:t xml:space="preserve">FinancialAccount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Payable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FinancialTransaction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CostCenter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RevenueCenter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Refund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FinancialCategory</w:t>
      </w:r>
      <w:r>
        <w:t xml:space="preserve">) e implementar </w:t>
      </w:r>
      <w:r>
        <w:rPr>
          <w:b/>
          <w:bCs/>
        </w:rPr>
        <w:t xml:space="preserve">somente</w:t>
      </w:r>
      <w:r>
        <w:t xml:space="preserve"> as que já tenham uso arquitetural justificado — preparando (sem forçar) associação futura com Lead/Proposal/Booking/Trip/Customer/Market/Campaign/Supplier/Partner/LegalEntity, sem inventar FK para entidade que ainda não existe. Country Pack Portugal continua explicitamente bloqueado (nenhuma regra fiscal concreta).</w:t>
      </w:r>
    </w:p>
    <w:p>
      <w:pPr>
        <w:pStyle w:val="Heading2"/>
        <w:spacing w:after="120" w:before="260"/>
      </w:pPr>
      <w:r>
        <w:t xml:space="preserve">Matriz de classificação (obrigatória antes de qualquer promoção a tabela)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Consumidor real hoje?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Depende de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FinancialAccount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Conta financeira (caixa/banco/gateway) de uma </w:t>
            </w:r>
            <w:r>
              <w:rPr>
                <w:rFonts w:ascii="Consolas" w:cs="Consolas" w:eastAsia="Consolas" w:hAnsi="Consolas"/>
                <w:color w:val="AA0000"/>
              </w:rPr>
              <w:t xml:space="preserve">LegalEntity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nenhuma tela/fluxo movimenta dinheiro ainda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LegalEntity</w:t>
            </w:r>
            <w:r>
              <w:t xml:space="preserve"> (também não é tabela)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FinancialCategory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Taxonomia de receita/despesa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nada categoriza valor financeiro ainda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CostCenter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Agrupamento organizacional de custo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RevenueCenter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Agrupamento organizacional de receita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FinancialTransaction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Movimentação (crédito/débito) numa conta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sem Booking/Payment, não há evento que gere uma transação real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FinancialAccount</w:t>
            </w:r>
            <w:r>
              <w:t xml:space="preserve">, potencialmente </w:t>
            </w:r>
            <w:r>
              <w:rPr>
                <w:rFonts w:ascii="Consolas" w:cs="Consolas" w:eastAsia="Consolas" w:hAnsi="Consolas"/>
                <w:color w:val="AA0000"/>
              </w:rPr>
              <w:t xml:space="preserve">Proposal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Booking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Receivable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Valor a receber do cliente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Proposal Foundation (próxima etapa) grava preço/margem NO PRÓPRIO Proposal, não aqui; Booking/Payment (que cobrariam de verdade) estão fora do escopo de toda a janela PM-NIGHT-RUN-01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Lead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Proposal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Payable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Valor a pagar a fornecedor/parceiro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Supplier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Partner</w:t>
            </w:r>
            <w:r>
              <w:t xml:space="preserve"> nem existem como conceito no código ainda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Supplier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Partner</w:t>
            </w:r>
            <w:r>
              <w:t xml:space="preserve"> (não existem)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Commission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Comissão de parceiro/agente por venda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depende de uma venda fechada de verdade (Booking), que não 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Partner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Booking</w:t>
            </w:r>
            <w:r>
              <w:t xml:space="preserve"> (não existem)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Refund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Reembolso ao cliente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depende de um pagamento real já recebido, que não 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FinancialTransaction</w:t>
            </w:r>
            <w:r>
              <w:t xml:space="preserve"> (também não é tabela)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apenas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Resultado da avaliação: nenhuma das 9 entidades tem hoje um consumidor real no produto.</w:t>
      </w:r>
      <w:r>
        <w:t xml:space="preserve"> Não existe Proposal/Booking/Payment implementado nesta base de código — e mesmo a Etapa 5 (Proposal Foundation 01, a seguir) foi desenhada para gravar preço/custo/margem/condições </w:t>
      </w:r>
      <w:r>
        <w:rPr>
          <w:b/>
          <w:bCs/>
        </w:rPr>
        <w:t xml:space="preserve">dentro do próprio `Proposal`</w:t>
      </w:r>
      <w:r>
        <w:t xml:space="preserve">, não delegando a um motor financeiro separado. </w:t>
      </w:r>
      <w:r>
        <w:rPr>
          <w:rFonts w:ascii="Consolas" w:cs="Consolas" w:eastAsia="Consolas" w:hAnsi="Consolas"/>
          <w:color w:val="AA0000"/>
        </w:rPr>
        <w:t xml:space="preserve">Supplier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Partner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Booking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Trip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Customer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Campaign</w:t>
      </w:r>
      <w:r>
        <w:t xml:space="preserve"> não existem como conceito em nenhuma parte do código atual.</w:t>
      </w:r>
    </w:p>
    <w:p>
      <w:pPr>
        <w:pStyle w:val="Heading2"/>
        <w:spacing w:after="120" w:before="260"/>
      </w:pPr>
      <w:r>
        <w:t xml:space="preserve">Decisão</w:t>
      </w:r>
    </w:p>
    <w:p>
      <w:pPr>
        <w:spacing w:after="120"/>
      </w:pPr>
      <w:r>
        <w:t xml:space="preserve">Mesma disciplina já aplicada a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 na Etapa 2 (F2), conforme a própria autorização permite explicitamente ("avaliar… se não: manter contrato e documentar motivo"): </w:t>
      </w:r>
      <w:r>
        <w:rPr>
          <w:b/>
          <w:bCs/>
        </w:rPr>
        <w:t xml:space="preserve">as 9 entidades ficam como contrato TypeScript puro — zero tabela nova, zero migration nesta rodada.</w:t>
      </w:r>
      <w:r>
        <w:t xml:space="preserve"> Implementar tabelas reais sem nenhum consumidor construiria "um ERP que ninguém usa ainda" — princípio já estabelecido em PM-CRM-FIN-ARCH-01 e reafirmado aqui.</w:t>
      </w:r>
    </w:p>
    <w:p>
      <w:pPr>
        <w:spacing w:after="120"/>
      </w:pPr>
      <w:r>
        <w:t xml:space="preserve">Isto </w:t>
      </w:r>
      <w:r>
        <w:rPr>
          <w:b/>
          <w:bCs/>
        </w:rPr>
        <w:t xml:space="preserve">não é</w:t>
      </w:r>
      <w:r>
        <w:t xml:space="preserve"> a etapa ficando vazia: a avaliação em si é o entregável obrigatório desta etapa (a autorização pede explicitamente para "avaliar... implementando ONLY as já justificadas"), e o resultado legítimo dessa avaliação é nenhuma promoção — exatamente como aconteceu com Market/LegalEntity, e pelo mesmo motivo.</w:t>
      </w:r>
    </w:p>
    <w:p>
      <w:pPr>
        <w:pStyle w:val="Heading2"/>
        <w:spacing w:after="120" w:before="260"/>
      </w:pPr>
      <w:r>
        <w:t xml:space="preserve">Implementação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packages/db/src/finance/types.ts</w:t>
      </w:r>
      <w:r>
        <w:t xml:space="preserve"> (estendido) — 9 novas interfaces + 7 union types de status/natureza, todas documentadas com: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Referências a entidades futuras sempre como </w:t>
      </w:r>
      <w:r>
        <w:rPr>
          <w:rFonts w:ascii="Consolas" w:cs="Consolas" w:eastAsia="Consolas" w:hAnsi="Consolas"/>
          <w:color w:val="AA0000"/>
        </w:rPr>
        <w:t xml:space="preserve">string</w:t>
      </w:r>
      <w:r>
        <w:t xml:space="preserve"> opaca (nunca uma relação Prisma) — nem mesmo </w:t>
      </w:r>
      <w:r>
        <w:rPr>
          <w:rFonts w:ascii="Consolas" w:cs="Consolas" w:eastAsia="Consolas" w:hAnsi="Consolas"/>
          <w:color w:val="AA0000"/>
        </w:rPr>
        <w:t xml:space="preserve">Lead</w:t>
      </w:r>
      <w:r>
        <w:t xml:space="preserve">, que já é tabela real hoje, ganhou FK aqui (a outra ponta, ex. </w:t>
      </w:r>
      <w:r>
        <w:rPr>
          <w:rFonts w:ascii="Consolas" w:cs="Consolas" w:eastAsia="Consolas" w:hAnsi="Consolas"/>
          <w:color w:val="AA0000"/>
        </w:rPr>
        <w:t xml:space="preserve">FinancialTransaction</w:t>
      </w:r>
      <w:r>
        <w:t xml:space="preserve">, também não é tabela — FK só faz sentido quando as duas pontas existem).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Comentário explícito de que, quando promovidas, RLS/Audit/Gate são obrigatórios desde o primeiro dia — nunca "depois se lembra de adicionar".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CostCenter</w:t>
      </w:r>
      <w:r>
        <w:t xml:space="preserve"> documentado explicitamente como </w:t>
      </w:r>
      <w:r>
        <w:rPr>
          <w:b/>
          <w:bCs/>
        </w:rPr>
        <w:t xml:space="preserve">não relacionado</w:t>
      </w:r>
      <w:r>
        <w:t xml:space="preserve"> ao </w:t>
      </w:r>
      <w:r>
        <w:rPr>
          <w:rFonts w:ascii="Consolas" w:cs="Consolas" w:eastAsia="Consolas" w:hAnsi="Consolas"/>
          <w:color w:val="AA0000"/>
        </w:rPr>
        <w:t xml:space="preserve">CostEvent</w:t>
      </w:r>
      <w:r>
        <w:t xml:space="preserve"> de T2 (custo operacional de IA/LLM é um domínio diferente de custo financeiro do negócio de turismo — mesmo princípio de "Audit técnico ≠ timeline comercial" já aplicado em CRM Evolution 01, agora estendido a "custo técnico ≠ custo financeiro").</w:t>
      </w:r>
    </w:p>
    <w:p>
      <w:pPr>
        <w:spacing w:after="120"/>
      </w:pPr>
      <w:r>
        <w:t xml:space="preserve">Nenhum outro arquivo foi tocado — nenhuma tabela, nenhuma migration, nenhuma rota, nenhuma UI.</w:t>
      </w:r>
    </w:p>
    <w:p>
      <w:pPr>
        <w:pStyle w:val="Heading2"/>
        <w:spacing w:after="120" w:before="260"/>
      </w:pPr>
      <w:r>
        <w:t xml:space="preserve">Country Pack Portugal</w:t>
      </w:r>
    </w:p>
    <w:p>
      <w:pPr>
        <w:spacing w:after="120"/>
      </w:pPr>
      <w:r>
        <w:t xml:space="preserve">Permanece explicitamente bloqueado — nenhuma regra de IVA/AT/SAF-T/documento fiscal/retenção/código de imposto foi criada ou insinuada. </w:t>
      </w:r>
      <w:r>
        <w:rPr>
          <w:rFonts w:ascii="Consolas" w:cs="Consolas" w:eastAsia="Consolas" w:hAnsi="Consolas"/>
          <w:color w:val="AA0000"/>
        </w:rPr>
        <w:t xml:space="preserve">CountryPackRegistry</w:t>
      </w:r>
      <w:r>
        <w:t xml:space="preserve"> (de PM-CRM-FIN-ARCH-01) continua sem nenhum pack real registrado (nem PT, nem BR) — confirmado pelos testes já existentes, inalterados nesta etapa.</w:t>
      </w:r>
    </w:p>
    <w:p>
      <w:pPr>
        <w:pStyle w:val="Heading2"/>
        <w:spacing w:after="120" w:before="260"/>
      </w:pPr>
      <w:r>
        <w:t xml:space="preserve">Migrations</w:t>
      </w:r>
    </w:p>
    <w:p>
      <w:pPr>
        <w:spacing w:after="120"/>
      </w:pPr>
      <w:r>
        <w:rPr>
          <w:b/>
          <w:bCs/>
        </w:rPr>
        <w:t xml:space="preserve">Nenhuma.</w:t>
      </w:r>
      <w:r>
        <w:t xml:space="preserve"> 28 migrations continuam (mesmo total da Etapa 3).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spacing w:after="120"/>
      </w:pPr>
      <w:r>
        <w:t xml:space="preserve">Nada a proteger nesta rodada — zero tabela nova significa zero superfície de RLS/Gate/Audit nova. O compromisso arquitetural de que RLS/Audit/Gate serão obrigatórios desde o primeiro dia de qualquer promoção futura está documentado diretamente no código (</w:t>
      </w:r>
      <w:r>
        <w:rPr>
          <w:rFonts w:ascii="Consolas" w:cs="Consolas" w:eastAsia="Consolas" w:hAnsi="Consolas"/>
          <w:color w:val="AA0000"/>
        </w:rPr>
        <w:t xml:space="preserve">types.ts</w:t>
      </w:r>
      <w:r>
        <w:t xml:space="preserve">), não só neste relatório.</w:t>
      </w:r>
    </w:p>
    <w:p>
      <w:pPr>
        <w:pStyle w:val="Heading2"/>
        <w:spacing w:after="120" w:before="260"/>
      </w:pPr>
      <w:r>
        <w:t xml:space="preserve">Testes</w:t>
      </w:r>
    </w:p>
    <w:p>
      <w:pPr>
        <w:spacing w:after="120"/>
      </w:pPr>
      <w:r>
        <w:t xml:space="preserve">Nenhum teste novo — consistente com o precedente da Etapa 2 (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FiscalProfile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também não ganharam testes unitários, por serem contratos puros sem comportamento de runtime; só </w:t>
      </w:r>
      <w:r>
        <w:rPr>
          <w:rFonts w:ascii="Consolas" w:cs="Consolas" w:eastAsia="Consolas" w:hAnsi="Consolas"/>
          <w:color w:val="AA0000"/>
        </w:rPr>
        <w:t xml:space="preserve">CountryPack</w:t>
      </w:r>
      <w:r>
        <w:t xml:space="preserve">, que tem um registry real, é testado). Escrever testes para interfaces TypeScript sem lógica associada testaria o próprio compilador, não o produto.</w:t>
      </w:r>
    </w:p>
    <w:p>
      <w:pPr>
        <w:pStyle w:val="Heading2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326/326</w:t>
      </w:r>
      <w:r>
        <w:t xml:space="preserve"> (inalterado — mesma contagem da Etapa 3, mudança é aditiva e sem runtime). Typecheck limpo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 Build limpo — 17 rotas (nenhuma rota nova, esperado).</w:t>
      </w:r>
    </w:p>
    <w:p>
      <w:pPr>
        <w:pStyle w:val="Heading2"/>
        <w:spacing w:after="120" w:before="260"/>
      </w:pPr>
      <w:r>
        <w:t xml:space="preserve">Limitações</w:t>
      </w:r>
    </w:p>
    <w:p>
      <w:pPr>
        <w:spacing w:after="120"/>
      </w:pPr>
      <w:r>
        <w:t xml:space="preserve">Nenhuma tabela financeira real existe ainda — qualquer necessidade futura de relatório financeiro, fluxo de caixa, ou reconciliação de pagamento depende de Booking/Payment serem construídos primeiro (fora do escopo de toda a janela PM-NIGHT-RUN-01, listados explicitamente entre os itens que exigem nova autorização).</w:t>
      </w:r>
    </w:p>
    <w:p>
      <w:pPr>
        <w:pStyle w:val="Heading2"/>
        <w:spacing w:after="120" w:before="260"/>
      </w:pPr>
      <w:r>
        <w:t xml:space="preserve">Decisões do fundador pendentes</w:t>
      </w:r>
    </w:p>
    <w:p>
      <w:pPr>
        <w:spacing w:after="120"/>
      </w:pPr>
      <w:r>
        <w:t xml:space="preserve">Nenhuma nova — a decisão desta etapa (não promover nenhuma entidade) já está dentro do escopo de autonomia concedido pela própria autorização ("avaliar... se não: manter contrato e documentar motivo", mesmo texto usado para justificar a decisão análoga em F2).</w:t>
      </w:r>
    </w:p>
    <w:p>
      <w:pPr>
        <w:pStyle w:val="Heading2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avaliação completa e documentada das 9 entidades (entregável obrigatório desta etapa), decisão consistente com o precedente já estabelecido (F2) e com os princípios já fixados (PM-CRM-FIN-ARCH-01: "não construir ERP sem consumidor"), nenhuma tabela/migration nova (portanto nenhum risco de RLS ausente, nenhuma FK inventada), Country Pack Portugal continua bloqueado, regressão completa passando, typecheck/build limpos, nenhuma decisão do fundador indispensável.</w:t>
      </w:r>
    </w:p>
    <w:p>
      <w:pPr>
        <w:pStyle w:val="Heading2"/>
        <w:spacing w:after="120" w:before="260"/>
      </w:pPr>
      <w:r>
        <w:t xml:space="preserve">Próximo bloco autorizado</w:t>
      </w:r>
    </w:p>
    <w:p>
      <w:pPr>
        <w:spacing w:after="120"/>
      </w:pPr>
      <w:r>
        <w:t xml:space="preserve">Etapa 5 — Proposal Foundation 01. </w:t>
      </w:r>
      <w:r>
        <w:rPr>
          <w:b/>
          <w:bCs/>
        </w:rPr>
        <w:t xml:space="preserve">Prosseguindo automaticamente conforme autorização (PM-NIGHT-RUN-01).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2026-09-15T03:47:29.384Z</dcterms:created>
  <dcterms:modified xsi:type="dcterms:W3CDTF">2026-09-15T03:47:29.385Z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