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PM-CRM-FIN-ARCH-01 — Relatório de Fechamento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de Fechamento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14 de setembro de 2026</w:t>
      </w:r>
    </w:p>
    <w:p>
      <w:pPr>
        <w:pageBreakBefore/>
      </w:pPr>
    </w:p>
    <w:p>
      <w:pPr>
        <w:spacing w:after="120"/>
      </w:pPr>
      <w:r>
        <w:t xml:space="preserve">Companheiro: </w:t>
      </w:r>
      <w:r>
        <w:rPr>
          <w:rFonts w:ascii="Consolas" w:cs="Consolas" w:eastAsia="Consolas" w:hAnsi="Consolas"/>
          <w:color w:val="AA0000"/>
        </w:rPr>
        <w:t xml:space="preserve">docs/PM_CRM_FIN_ARCH_01.md</w:t>
      </w:r>
      <w:r>
        <w:t xml:space="preserve"> (documento de arquitetura completo). Base de continuidade: </w:t>
      </w:r>
      <w:r>
        <w:rPr>
          <w:rFonts w:ascii="Consolas" w:cs="Consolas" w:eastAsia="Consolas" w:hAnsi="Consolas"/>
          <w:color w:val="AA0000"/>
        </w:rPr>
        <w:t xml:space="preserve">RELATORIO-RECONCILIACAO-PM-CODE-HANDOFF-001.md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docs/PM_SANEAMENTO_01_FECHAMENTO.md</w:t>
      </w:r>
      <w:r>
        <w:t xml:space="preserve"> (não refeitos do zero).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O CRM KeroSolar pôde ser analisado?</w:t>
      </w:r>
    </w:p>
    <w:p>
      <w:pPr>
        <w:spacing w:after="120"/>
      </w:pPr>
      <w:r>
        <w:t xml:space="preserve">Sim — repositório real e acessível em </w:t>
      </w:r>
      <w:r>
        <w:rPr>
          <w:rFonts w:ascii="Consolas" w:cs="Consolas" w:eastAsia="Consolas" w:hAnsi="Consolas"/>
          <w:color w:val="AA0000"/>
        </w:rPr>
        <w:t xml:space="preserve">C:\Projetos\KeroSolar CRM</w:t>
      </w:r>
      <w:r>
        <w:t xml:space="preserve"> (git, branch </w:t>
      </w:r>
      <w:r>
        <w:rPr>
          <w:rFonts w:ascii="Consolas" w:cs="Consolas" w:eastAsia="Consolas" w:hAnsi="Consolas"/>
          <w:color w:val="AA0000"/>
        </w:rPr>
        <w:t xml:space="preserve">main</w:t>
      </w:r>
      <w:r>
        <w:t xml:space="preserve">, remote GitHub real). Auditoria dedicada, evidência de arquivo/linha, sem suposição (ver seção 2 do documento de arquitetura).</w:t>
      </w:r>
    </w:p>
    <w:p>
      <w:pPr>
        <w:pStyle w:val="Heading2"/>
        <w:spacing w:after="120" w:before="260"/>
      </w:pPr>
      <w:r>
        <w:t xml:space="preserve">O que pode ser reaproveitado?</w:t>
      </w:r>
    </w:p>
    <w:p>
      <w:pPr>
        <w:spacing w:after="120"/>
      </w:pPr>
      <w:r>
        <w:t xml:space="preserve">O </w:t>
      </w:r>
      <w:r>
        <w:rPr>
          <w:b/>
          <w:bCs/>
        </w:rPr>
        <w:t xml:space="preserve">formato/contrato</w:t>
      </w:r>
      <w:r>
        <w:t xml:space="preserve"> (não o código): a estrutura Contact→Lead→Pipeline→Stage→Conversation→Message→Task→Note já é quase idêntica entre os dois sistemas — o schema do Partiu já cita explicitamente decisões herdadas do KeroSolar (</w:t>
      </w:r>
      <w:r>
        <w:rPr>
          <w:rFonts w:ascii="Consolas" w:cs="Consolas" w:eastAsia="Consolas" w:hAnsi="Consolas"/>
          <w:color w:val="AA0000"/>
        </w:rPr>
        <w:t xml:space="preserve">Conversation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Stage.isWon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isLost</w:t>
      </w:r>
      <w:r>
        <w:t xml:space="preserve">). Campos que o KeroSolar tem e o Partiu não (Note.type, Task.type, Lead.lossReason, Lead.highPriority) são candidatos reais de generalização futura, documentados na matriz.</w:t>
      </w:r>
    </w:p>
    <w:p>
      <w:pPr>
        <w:pStyle w:val="Heading2"/>
        <w:spacing w:after="120" w:before="260"/>
      </w:pPr>
      <w:r>
        <w:t xml:space="preserve">O que não deve ser reaproveitado?</w:t>
      </w:r>
    </w:p>
    <w:p>
      <w:pPr>
        <w:spacing w:after="120"/>
      </w:pPr>
      <w:r>
        <w:t xml:space="preserve">Todo o domínio solar (</w:t>
      </w:r>
      <w:r>
        <w:rPr>
          <w:rFonts w:ascii="Consolas" w:cs="Consolas" w:eastAsia="Consolas" w:hAnsi="Consolas"/>
          <w:color w:val="AA0000"/>
        </w:rPr>
        <w:t xml:space="preserve">billValue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consumoKwh</w:t>
      </w:r>
      <w:r>
        <w:t xml:space="preserve">, tabelas de financiamento, cálculos de ar-condicionado, prompts do bot "Sol") — confirmado isolado em </w:t>
      </w:r>
      <w:r>
        <w:rPr>
          <w:rFonts w:ascii="Consolas" w:cs="Consolas" w:eastAsia="Consolas" w:hAnsi="Consolas"/>
          <w:color w:val="AA0000"/>
        </w:rPr>
        <w:t xml:space="preserve">customFields</w:t>
      </w:r>
      <w:r>
        <w:t xml:space="preserve"> Json + módulos próprios, não no schema relacional. Também não reaproveitável: a ausência de multi-tenant do KeroSolar (seria regressão), e o acoplamento direto Prisma+Next.js+cache dentro da lógica de negócio (confirmado não-portável como código, só como padrão).</w:t>
      </w:r>
    </w:p>
    <w:p>
      <w:pPr>
        <w:pStyle w:val="Heading2"/>
        <w:spacing w:after="120" w:before="260"/>
      </w:pPr>
      <w:r>
        <w:t xml:space="preserve">Existe necessidade real de CRM Core?</w:t>
      </w:r>
    </w:p>
    <w:p>
      <w:pPr>
        <w:spacing w:after="120"/>
      </w:pPr>
      <w:r>
        <w:rPr>
          <w:b/>
          <w:bCs/>
        </w:rPr>
        <w:t xml:space="preserve">Como pacote compartilhado extraído: não, ainda não.</w:t>
      </w:r>
      <w:r>
        <w:t xml:space="preserve"> Como </w:t>
      </w:r>
      <w:r>
        <w:rPr>
          <w:b/>
          <w:bCs/>
        </w:rPr>
        <w:t xml:space="preserve">especificação de referência documentada</w:t>
      </w:r>
      <w:r>
        <w:t xml:space="preserve">: sim, e é exatamente o que este bloco entrega (o documento de arquitetura + a matriz). Extrair um pacote de verdade exigiria tocar o repositório do KeroSolar (produção, fora de escopo) e resolver divergência de versão (Prisma 5↔7, Next 14↔16) — avaliado e não recomendado nesta rodada (ver "Gate de segurança" abaixo).</w:t>
      </w:r>
    </w:p>
    <w:p>
      <w:pPr>
        <w:pStyle w:val="Heading2"/>
        <w:spacing w:after="120" w:before="260"/>
      </w:pPr>
      <w:r>
        <w:t xml:space="preserve">Houve código alterado?</w:t>
      </w:r>
    </w:p>
    <w:p>
      <w:pPr>
        <w:spacing w:after="120"/>
      </w:pPr>
      <w:r>
        <w:t xml:space="preserve">Sim, mínimo: </w:t>
      </w:r>
      <w:r>
        <w:rPr>
          <w:rFonts w:ascii="Consolas" w:cs="Consolas" w:eastAsia="Consolas" w:hAnsi="Consolas"/>
          <w:color w:val="AA0000"/>
        </w:rPr>
        <w:t xml:space="preserve">packages/db/src/finance/</w:t>
      </w:r>
      <w:r>
        <w:t xml:space="preserve"> (novo), 1 linha em </w:t>
      </w:r>
      <w:r>
        <w:rPr>
          <w:rFonts w:ascii="Consolas" w:cs="Consolas" w:eastAsia="Consolas" w:hAnsi="Consolas"/>
          <w:color w:val="AA0000"/>
        </w:rPr>
        <w:t xml:space="preserve">packages/db/src/index.ts</w:t>
      </w:r>
      <w:r>
        <w:t xml:space="preserve">, 1 arquivo de teste novo. Nenhum arquivo do CRM existente (</w:t>
      </w:r>
      <w:r>
        <w:rPr>
          <w:rFonts w:ascii="Consolas" w:cs="Consolas" w:eastAsia="Consolas" w:hAnsi="Consolas"/>
          <w:color w:val="AA0000"/>
        </w:rPr>
        <w:t xml:space="preserve">leads.ts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schema.prisma</w:t>
      </w:r>
      <w:r>
        <w:t xml:space="preserve"> na parte de CRM, páginas </w:t>
      </w:r>
      <w:r>
        <w:rPr>
          <w:rFonts w:ascii="Consolas" w:cs="Consolas" w:eastAsia="Consolas" w:hAnsi="Consolas"/>
          <w:color w:val="AA0000"/>
        </w:rPr>
        <w:t xml:space="preserve">/leads</w:t>
      </w:r>
      <w:r>
        <w:t xml:space="preserve">) foi tocado.</w:t>
      </w:r>
    </w:p>
    <w:p>
      <w:pPr>
        <w:pStyle w:val="Heading2"/>
        <w:spacing w:after="120" w:before="260"/>
      </w:pPr>
      <w:r>
        <w:t xml:space="preserve">Houve schema alterado?</w:t>
      </w:r>
    </w:p>
    <w:p>
      <w:pPr>
        <w:spacing w:after="120"/>
      </w:pPr>
      <w:r>
        <w:t xml:space="preserve">Não — zero mudança em </w:t>
      </w:r>
      <w:r>
        <w:rPr>
          <w:rFonts w:ascii="Consolas" w:cs="Consolas" w:eastAsia="Consolas" w:hAnsi="Consolas"/>
          <w:color w:val="AA0000"/>
        </w:rPr>
        <w:t xml:space="preserve">schema.prisma</w:t>
      </w:r>
      <w:r>
        <w:t xml:space="preserve">.</w:t>
      </w:r>
    </w:p>
    <w:p>
      <w:pPr>
        <w:pStyle w:val="Heading2"/>
        <w:spacing w:after="120" w:before="260"/>
      </w:pPr>
      <w:r>
        <w:t xml:space="preserve">Houve migration?</w:t>
      </w:r>
    </w:p>
    <w:p>
      <w:pPr>
        <w:spacing w:after="120"/>
      </w:pPr>
      <w:r>
        <w:t xml:space="preserve">Não — 24 migrations continuam, nenhuma nova.</w:t>
      </w:r>
    </w:p>
    <w:p>
      <w:pPr>
        <w:pStyle w:val="Heading2"/>
        <w:spacing w:after="120" w:before="260"/>
      </w:pPr>
      <w:r>
        <w:t xml:space="preserve">Finance Core ficou corretamente separado de fiscal?</w:t>
      </w:r>
    </w:p>
    <w:p>
      <w:pPr>
        <w:spacing w:after="120"/>
      </w:pPr>
      <w:r>
        <w:t xml:space="preserve">Sim — </w:t>
      </w:r>
      <w:r>
        <w:rPr>
          <w:rFonts w:ascii="Consolas" w:cs="Consolas" w:eastAsia="Consolas" w:hAnsi="Consolas"/>
          <w:color w:val="AA0000"/>
        </w:rPr>
        <w:t xml:space="preserve">FiscalProfile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CountryPack</w:t>
      </w:r>
      <w:r>
        <w:t xml:space="preserve"> existem só como contrato/interface, zero regra de IVA, AT, faturação ou percentual concreto em qualquer arquivo. </w:t>
      </w:r>
      <w:r>
        <w:rPr>
          <w:rFonts w:ascii="Consolas" w:cs="Consolas" w:eastAsia="Consolas" w:hAnsi="Consolas"/>
          <w:color w:val="AA0000"/>
        </w:rPr>
        <w:t xml:space="preserve">packages/db/src/finance/types.ts</w:t>
      </w:r>
      <w:r>
        <w:t xml:space="preserve"> documenta isso explicitamente no comentário de cada tipo.</w:t>
      </w:r>
    </w:p>
    <w:p>
      <w:pPr>
        <w:pStyle w:val="Heading2"/>
        <w:spacing w:after="120" w:before="260"/>
      </w:pPr>
      <w:r>
        <w:t xml:space="preserve">Portugal ficou corretamente isolado como Country Pack futuro?</w:t>
      </w:r>
    </w:p>
    <w:p>
      <w:pPr>
        <w:spacing w:after="120"/>
      </w:pPr>
      <w:r>
        <w:t xml:space="preserve">Sim — nenhuma menção a Portugal em código, só em comentário/documentação como exemplo de jurisdição futura. </w:t>
      </w:r>
      <w:r>
        <w:rPr>
          <w:rFonts w:ascii="Consolas" w:cs="Consolas" w:eastAsia="Consolas" w:hAnsi="Consolas"/>
          <w:color w:val="AA0000"/>
        </w:rPr>
        <w:t xml:space="preserve">obterCountryPack("PT")</w:t>
      </w:r>
      <w:r>
        <w:t xml:space="preserve"> devolve </w:t>
      </w:r>
      <w:r>
        <w:rPr>
          <w:rFonts w:ascii="Consolas" w:cs="Consolas" w:eastAsia="Consolas" w:hAnsi="Consolas"/>
          <w:color w:val="AA0000"/>
        </w:rPr>
        <w:t xml:space="preserve">undefined</w:t>
      </w:r>
      <w:r>
        <w:t xml:space="preserve">, testado.</w:t>
      </w:r>
    </w:p>
    <w:p>
      <w:pPr>
        <w:pStyle w:val="Heading2"/>
        <w:spacing w:after="120" w:before="260"/>
      </w:pPr>
      <w:r>
        <w:t xml:space="preserve">LegalEntity ficou separada de Market?</w:t>
      </w:r>
    </w:p>
    <w:p>
      <w:pPr>
        <w:spacing w:after="120"/>
      </w:pPr>
      <w:r>
        <w:t xml:space="preserve">Sim — são dois tipos TypeScript independentes, sem relação estrutural direta entre eles (nem FK, já que nenhum dos dois é tabela ainda); </w:t>
      </w:r>
      <w:r>
        <w:rPr>
          <w:rFonts w:ascii="Consolas" w:cs="Consolas" w:eastAsia="Consolas" w:hAnsi="Consolas"/>
          <w:color w:val="AA0000"/>
        </w:rPr>
        <w:t xml:space="preserve">LegalEntity.country</w:t>
      </w:r>
      <w:r>
        <w:t xml:space="preserve"> (país de registro jurídico) é conceitualmente distinto de </w:t>
      </w:r>
      <w:r>
        <w:rPr>
          <w:rFonts w:ascii="Consolas" w:cs="Consolas" w:eastAsia="Consolas" w:hAnsi="Consolas"/>
          <w:color w:val="AA0000"/>
        </w:rPr>
        <w:t xml:space="preserve">Market.codigo</w:t>
      </w:r>
      <w:r>
        <w:t xml:space="preserve"> (mercado comercial atendido), conforme a distinção pedida na seção 9 da autorização.</w:t>
      </w:r>
    </w:p>
    <w:p>
      <w:pPr>
        <w:pStyle w:val="Heading2"/>
        <w:spacing w:after="120" w:before="260"/>
      </w:pPr>
      <w:r>
        <w:t xml:space="preserve">Currency ficou separada de fiscalidade?</w:t>
      </w:r>
    </w:p>
    <w:p>
      <w:pPr>
        <w:spacing w:after="120"/>
      </w:pPr>
      <w:r>
        <w:t xml:space="preserve">Sim — </w:t>
      </w:r>
      <w:r>
        <w:rPr>
          <w:rFonts w:ascii="Consolas" w:cs="Consolas" w:eastAsia="Consolas" w:hAnsi="Consolas"/>
          <w:color w:val="AA0000"/>
        </w:rPr>
        <w:t xml:space="preserve">ExchangeRateQuote</w:t>
      </w:r>
      <w:r>
        <w:t xml:space="preserve"> não referencia </w:t>
      </w:r>
      <w:r>
        <w:rPr>
          <w:rFonts w:ascii="Consolas" w:cs="Consolas" w:eastAsia="Consolas" w:hAnsi="Consolas"/>
          <w:color w:val="AA0000"/>
        </w:rPr>
        <w:t xml:space="preserve">FiscalProfile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CountryPack</w:t>
      </w:r>
      <w:r>
        <w:t xml:space="preserve"> em nenhum campo; o comentário do tipo reforça "câmbio ≠ preço" e que alteração de preço público exige Gate, nunca é automática a partir de cotação.</w:t>
      </w:r>
    </w:p>
    <w:p>
      <w:pPr>
        <w:pStyle w:val="Heading2"/>
        <w:spacing w:after="120" w:before="260"/>
      </w:pPr>
      <w:r>
        <w:t xml:space="preserve">Alguma regra fiscal foi indevidamente hardcoded?</w:t>
      </w:r>
    </w:p>
    <w:p>
      <w:pPr>
        <w:spacing w:after="120"/>
      </w:pPr>
      <w:r>
        <w:rPr>
          <w:b/>
          <w:bCs/>
        </w:rPr>
        <w:t xml:space="preserve">Não — verificado, zero ocorrências.</w:t>
      </w:r>
      <w:r>
        <w:t xml:space="preserve"> Nenhum </w:t>
      </w:r>
      <w:r>
        <w:rPr>
          <w:rFonts w:ascii="Consolas" w:cs="Consolas" w:eastAsia="Consolas" w:hAnsi="Consolas"/>
          <w:color w:val="AA0000"/>
        </w:rPr>
        <w:t xml:space="preserve">if idioma === "pt-PT"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if currency === "EUR"</w:t>
      </w:r>
      <w:r>
        <w:t xml:space="preserve"> ou equivalente foi escrito em nenhum arquivo desta rodada.</w:t>
      </w:r>
    </w:p>
    <w:p>
      <w:pPr>
        <w:pStyle w:val="Heading2"/>
        <w:spacing w:after="120" w:before="260"/>
      </w:pPr>
      <w:r>
        <w:t xml:space="preserve">RLS permanece íntegro?</w:t>
      </w:r>
    </w:p>
    <w:p>
      <w:pPr>
        <w:spacing w:after="120"/>
      </w:pPr>
      <w:r>
        <w:t xml:space="preserve">Sim — nenhuma tabela nova foi criada, logo nenhuma política nova era necessária; todas as suítes de isolamento multi-tenant existentes continuam passando (parte da regressão completa abaixo).</w:t>
      </w:r>
    </w:p>
    <w:p>
      <w:pPr>
        <w:pStyle w:val="Heading2"/>
        <w:spacing w:after="120" w:before="260"/>
      </w:pPr>
      <w:r>
        <w:t xml:space="preserve">Gates/Audit permanecem íntegros?</w:t>
      </w:r>
    </w:p>
    <w:p>
      <w:pPr>
        <w:spacing w:after="120"/>
      </w:pPr>
      <w:r>
        <w:t xml:space="preserve">Sim — nenhum arquivo de </w:t>
      </w:r>
      <w:r>
        <w:rPr>
          <w:rFonts w:ascii="Consolas" w:cs="Consolas" w:eastAsia="Consolas" w:hAnsi="Consolas"/>
          <w:color w:val="AA0000"/>
        </w:rPr>
        <w:t xml:space="preserve">gates.ts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audit.ts</w:t>
      </w:r>
      <w:r>
        <w:t xml:space="preserve"> foi tocado; suítes correspondentes passando.</w:t>
      </w:r>
    </w:p>
    <w:p>
      <w:pPr>
        <w:pStyle w:val="Heading2"/>
        <w:spacing w:after="120" w:before="260"/>
      </w:pPr>
      <w:r>
        <w:t xml:space="preserve">Quantos testes existem?</w:t>
      </w:r>
    </w:p>
    <w:p>
      <w:pPr>
        <w:spacing w:after="120"/>
      </w:pPr>
      <w:r>
        <w:rPr>
          <w:b/>
          <w:bCs/>
        </w:rPr>
        <w:t xml:space="preserve">274</w:t>
      </w:r>
      <w:r>
        <w:t xml:space="preserve"> (192 em 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, 82 em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</w:t>
      </w:r>
    </w:p>
    <w:p>
      <w:pPr>
        <w:pStyle w:val="Heading2"/>
        <w:spacing w:after="120" w:before="260"/>
      </w:pPr>
      <w:r>
        <w:t xml:space="preserve">Quantos passaram?</w:t>
      </w:r>
    </w:p>
    <w:p>
      <w:pPr>
        <w:spacing w:after="120"/>
      </w:pPr>
      <w:r>
        <w:rPr>
          <w:b/>
          <w:bCs/>
        </w:rPr>
        <w:t xml:space="preserve">274.</w:t>
      </w:r>
    </w:p>
    <w:p>
      <w:pPr>
        <w:pStyle w:val="Heading2"/>
        <w:spacing w:after="120" w:before="260"/>
      </w:pPr>
      <w:r>
        <w:t xml:space="preserve">Typecheck?</w:t>
      </w:r>
    </w:p>
    <w:p>
      <w:pPr>
        <w:spacing w:after="120"/>
      </w:pPr>
      <w:r>
        <w:t xml:space="preserve">Limpo nos dois pacotes (</w:t>
      </w:r>
      <w:r>
        <w:rPr>
          <w:rFonts w:ascii="Consolas" w:cs="Consolas" w:eastAsia="Consolas" w:hAnsi="Consolas"/>
          <w:color w:val="AA0000"/>
        </w:rPr>
        <w:t xml:space="preserve">tsc --noEmit</w:t>
      </w:r>
      <w:r>
        <w:t xml:space="preserve">, 0 erros).</w:t>
      </w:r>
    </w:p>
    <w:p>
      <w:pPr>
        <w:pStyle w:val="Heading2"/>
        <w:spacing w:after="120" w:before="260"/>
      </w:pPr>
      <w:r>
        <w:t xml:space="preserve">Build?</w:t>
      </w:r>
    </w:p>
    <w:p>
      <w:pPr>
        <w:spacing w:after="120"/>
      </w:pPr>
      <w:r>
        <w:t xml:space="preserve">Limpo (</w:t>
      </w:r>
      <w:r>
        <w:rPr>
          <w:rFonts w:ascii="Consolas" w:cs="Consolas" w:eastAsia="Consolas" w:hAnsi="Consolas"/>
          <w:color w:val="AA0000"/>
        </w:rPr>
        <w:t xml:space="preserve">next build</w:t>
      </w:r>
      <w:r>
        <w:t xml:space="preserve">, exit 0, 16 rotas — sem alteração de contagem de rotas, já que nenhuma tela nova foi criada).</w:t>
      </w:r>
    </w:p>
    <w:p>
      <w:pPr>
        <w:pStyle w:val="Heading2"/>
        <w:spacing w:after="120" w:before="260"/>
      </w:pPr>
      <w:r>
        <w:t xml:space="preserve">Migration status?</w:t>
      </w:r>
    </w:p>
    <w:p>
      <w:pPr>
        <w:spacing w:after="120"/>
      </w:pPr>
      <w:r>
        <w:t xml:space="preserve">24 migrations, banco em dia (</w:t>
      </w:r>
      <w:r>
        <w:rPr>
          <w:rFonts w:ascii="Consolas" w:cs="Consolas" w:eastAsia="Consolas" w:hAnsi="Consolas"/>
          <w:color w:val="AA0000"/>
        </w:rPr>
        <w:t xml:space="preserve">Database schema is up to date!</w:t>
      </w:r>
      <w:r>
        <w:t xml:space="preserve">).</w:t>
      </w:r>
    </w:p>
    <w:p>
      <w:pPr>
        <w:pStyle w:val="Heading2"/>
        <w:spacing w:after="120" w:before="260"/>
      </w:pPr>
      <w:r>
        <w:t xml:space="preserve">Git status?</w:t>
      </w:r>
    </w:p>
    <w:p>
      <w:pPr>
        <w:spacing w:after="120"/>
      </w:pPr>
      <w:r>
        <w:t xml:space="preserve">Repositório continua sem inicialização Git (</w:t>
      </w:r>
      <w:r>
        <w:rPr>
          <w:rFonts w:ascii="Consolas" w:cs="Consolas" w:eastAsia="Consolas" w:hAnsi="Consolas"/>
          <w:color w:val="AA0000"/>
        </w:rPr>
        <w:t xml:space="preserve">fatal: not a git repository</w:t>
      </w:r>
      <w:r>
        <w:t xml:space="preserve">) — confirmado, sem mudança. </w:t>
      </w:r>
      <w:r>
        <w:rPr>
          <w:rFonts w:ascii="Consolas" w:cs="Consolas" w:eastAsia="Consolas" w:hAnsi="Consolas"/>
          <w:color w:val="AA0000"/>
        </w:rPr>
        <w:t xml:space="preserve">git init</w:t>
      </w:r>
      <w:r>
        <w:t xml:space="preserve"> não executado.</w:t>
      </w:r>
    </w:p>
    <w:p>
      <w:pPr>
        <w:pStyle w:val="Heading2"/>
        <w:spacing w:after="120" w:before="260"/>
      </w:pPr>
      <w:r>
        <w:t xml:space="preserve">Quais decisões (\*) precisam do fundador?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**(\*) Convergência de código CRM com KeroSolar** — ver "Gate de segurança" abaixo, as 3+1 opções.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**(\*) Quando promover </w:t>
      </w:r>
      <w:r>
        <w:rPr>
          <w:rFonts w:ascii="Consolas" w:cs="Consolas" w:eastAsia="Consolas" w:hAnsi="Consolas"/>
          <w:color w:val="AA0000"/>
        </w:rPr>
        <w:t xml:space="preserve">LegalEntity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 de tipo TS para tabela real** — só quando houver consumidor real.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**(\*) Quando generalizar </w:t>
      </w:r>
      <w:r>
        <w:rPr>
          <w:rFonts w:ascii="Consolas" w:cs="Consolas" w:eastAsia="Consolas" w:hAnsi="Consolas"/>
          <w:color w:val="AA0000"/>
        </w:rPr>
        <w:t xml:space="preserve">Note.type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Task.type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Lead.lossReason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Lead.prioridade</w:t>
      </w:r>
      <w:r>
        <w:t xml:space="preserve">** — melhorias de baixo risco identificadas, não priorizadas.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**(\*) Extração de pacote </w:t>
      </w:r>
      <w:r>
        <w:rPr>
          <w:rFonts w:ascii="Consolas" w:cs="Consolas" w:eastAsia="Consolas" w:hAnsi="Consolas"/>
          <w:color w:val="AA0000"/>
        </w:rPr>
        <w:t xml:space="preserve">@keromind/crm-core</w:t>
      </w:r>
      <w:r>
        <w:t xml:space="preserve">** — decisão de infraestrutura maior.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Decisões já registradas nos relatórios anteriores continuam abertas sem mudança (WABA real, política de voz, horário humano, área do viajante, regras fiscais por país, vendor do SecretProvider, preços em </w:t>
      </w:r>
      <w:r>
        <w:rPr>
          <w:rFonts w:ascii="Consolas" w:cs="Consolas" w:eastAsia="Consolas" w:hAnsi="Consolas"/>
          <w:color w:val="AA0000"/>
        </w:rPr>
        <w:t xml:space="preserve">ModelPrice</w:t>
      </w:r>
      <w:r>
        <w:t xml:space="preserve">, domínio de produção do site).</w:t>
      </w:r>
    </w:p>
    <w:p>
      <w:pPr>
        <w:pStyle w:val="Heading3"/>
        <w:spacing w:after="120" w:before="260"/>
      </w:pPr>
      <w:r>
        <w:t xml:space="preserve">Gate de segurança para separação (seção 22 da autorização)</w:t>
      </w:r>
    </w:p>
    <w:p>
      <w:pPr>
        <w:spacing w:after="120"/>
      </w:pPr>
      <w:r>
        <w:t xml:space="preserve">Avaliado: </w:t>
      </w:r>
      <w:r>
        <w:rPr>
          <w:b/>
          <w:bCs/>
        </w:rPr>
        <w:t xml:space="preserve">convergência de código real com KeroSolar exige alteração estrutural significativa</w:t>
      </w:r>
      <w:r>
        <w:t xml:space="preserve"> — versões de Prisma/Next divergentes (5↔7, 14↔16), nenhuma infraestrutura de pacote compartilhado hoje, e retrofit de multi-tenant no KeroSolar (sistema em produção, fora de qualquer autorização recebida nesta rodada). Por isso, </w:t>
      </w:r>
      <w:r>
        <w:rPr>
          <w:b/>
          <w:bCs/>
        </w:rPr>
        <w:t xml:space="preserve">NÃO executada</w:t>
      </w:r>
      <w:r>
        <w:t xml:space="preserve">. Apresentando as opções pedidas:</w:t>
      </w:r>
    </w:p>
    <w:p>
      <w:pPr>
        <w:spacing w:after="60"/>
      </w:pPr>
      <w:r>
        <w:rPr>
          <w:b/>
          <w:bCs/>
        </w:rPr>
        <w:t xml:space="preserve">☐ </w:t>
      </w:r>
      <w:r>
        <w:rPr>
          <w:b/>
          <w:bCs/>
        </w:rPr>
        <w:t xml:space="preserve">A — Manter os dois CRMs independentes</w:t>
      </w:r>
      <w:r>
        <w:t xml:space="preserve">, evoluindo cada um no seu ritmo, usando este documento como referência de contrato comum. </w:t>
      </w:r>
      <w:r>
        <w:rPr>
          <w:b/>
          <w:bCs/>
        </w:rPr>
        <w:t xml:space="preserve">Risco: baixo. Esforço: zero agora. Recomendação: esta.</w:t>
      </w:r>
    </w:p>
    <w:p>
      <w:pPr>
        <w:spacing w:after="60"/>
      </w:pPr>
      <w:r>
        <w:rPr>
          <w:b/>
          <w:bCs/>
        </w:rPr>
        <w:t xml:space="preserve">☐ </w:t>
      </w:r>
      <w:r>
        <w:rPr>
          <w:b/>
          <w:bCs/>
        </w:rPr>
        <w:t xml:space="preserve">B — Extrair `@keromind/crm-core` já nesta fase</w:t>
      </w:r>
      <w:r>
        <w:t xml:space="preserve">, exigindo alinhar versões, criar infraestrutura de publicação (registry privado ou monorepo único) e retrofit de multi-tenant no KeroSolar. </w:t>
      </w:r>
      <w:r>
        <w:rPr>
          <w:b/>
          <w:bCs/>
        </w:rPr>
        <w:t xml:space="preserve">Risco: alto (toca produção de outro produto). Esforço: alto. Não recomendado agora.</w:t>
      </w:r>
    </w:p>
    <w:p>
      <w:pPr>
        <w:spacing w:after="60"/>
      </w:pPr>
      <w:r>
        <w:rPr>
          <w:b/>
          <w:bCs/>
        </w:rPr>
        <w:t xml:space="preserve">☐ </w:t>
      </w:r>
      <w:r>
        <w:rPr>
          <w:b/>
          <w:bCs/>
        </w:rPr>
        <w:t xml:space="preserve">C — Migração gradual</w:t>
      </w:r>
      <w:r>
        <w:t xml:space="preserve">: toda vez que o KeroSolar precisar de uma feature nova de CRM, construir já no formato "genérico" (tenant-ready) e promover pedaços ao compartilhado aos poucos. </w:t>
      </w:r>
      <w:r>
        <w:rPr>
          <w:b/>
          <w:bCs/>
        </w:rPr>
        <w:t xml:space="preserve">Risco: médio. Esforço: distribuído. Viável, mas depende de haver demanda real do lado do KeroSolar, que está fora deste escopo de decisão.</w:t>
      </w:r>
    </w:p>
    <w:p>
      <w:pPr>
        <w:spacing w:after="60"/>
      </w:pPr>
      <w:r>
        <w:rPr>
          <w:b/>
          <w:bCs/>
        </w:rPr>
        <w:t xml:space="preserve">☐ </w:t>
      </w:r>
      <w:r>
        <w:rPr>
          <w:b/>
          <w:bCs/>
        </w:rPr>
        <w:t xml:space="preserve">D — Outra opção tecnicamente superior</w:t>
      </w:r>
      <w:r>
        <w:t xml:space="preserve">: manter a opção A, mas formalizar esta matriz como "spec de referência" para qualquer produto CRM novo da KeroMind nascer já alinhado desde o dia 1 (sem versionar nada, sem tocar KeroSolar). </w:t>
      </w:r>
      <w:r>
        <w:rPr>
          <w:b/>
          <w:bCs/>
        </w:rPr>
        <w:t xml:space="preserve">Combina com A, é essencialmente o que já foi entregue nesta rodada.</w:t>
      </w:r>
    </w:p>
    <w:p>
      <w:pPr>
        <w:pStyle w:val="Heading2"/>
        <w:spacing w:after="120" w:before="260"/>
      </w:pPr>
      <w:r>
        <w:t xml:space="preserve">A F1 pode ser considerada tecnicamente fechada? (não pedido pela seção 26, mas relevante ao contexto)</w:t>
      </w:r>
    </w:p>
    <w:p>
      <w:pPr>
        <w:spacing w:after="120"/>
      </w:pPr>
      <w:r>
        <w:t xml:space="preserve">Sem mudança em relação ao relatório anterior — continua tecnicamente fechada no que não depende de WABA real.</w:t>
      </w:r>
    </w:p>
    <w:p>
      <w:pPr>
        <w:pStyle w:val="Heading2"/>
        <w:spacing w:after="120" w:before="260"/>
      </w:pPr>
      <w:r>
        <w:t xml:space="preserve">Qual é a recomendação do próximo bloco?</w:t>
      </w:r>
    </w:p>
    <w:p>
      <w:pPr>
        <w:spacing w:after="120"/>
      </w:pPr>
      <w:r>
        <w:t xml:space="preserve">Sem mudança de prioridade: </w:t>
      </w:r>
      <w:r>
        <w:rPr>
          <w:b/>
          <w:bCs/>
        </w:rPr>
        <w:t xml:space="preserve">validar WhatsApp contra WABA real</w:t>
      </w:r>
      <w:r>
        <w:t xml:space="preserve"> (fecha F1 de fato) e </w:t>
      </w:r>
      <w:r>
        <w:rPr>
          <w:b/>
          <w:bCs/>
        </w:rPr>
        <w:t xml:space="preserve">T6 — Attribution</w:t>
      </w:r>
      <w:r>
        <w:t xml:space="preserve"> (pré-requisito pequeno, e agora com terreno preparado — seção 15 do documento de arquitetura confirma que nada bloqueia). T4 (Model Router) e F2-F6 seguem não iniciados.</w:t>
      </w:r>
    </w:p>
    <w:p>
      <w:pPr>
        <w:pBdr>
          <w:bottom w:val="single" w:color="AAAAAA" w:sz="6"/>
        </w:pBdr>
        <w:spacing w:after="200"/>
      </w:pPr>
    </w:p>
    <w:p>
      <w:pPr>
        <w:spacing w:after="120"/>
      </w:pPr>
      <w:r>
        <w:rPr>
          <w:b/>
          <w:bCs/>
        </w:rPr>
        <w:t xml:space="preserve">VEREDITO: PM-CRM-FIN-ARCH-01 CONCLUÍDO.</w:t>
      </w:r>
    </w:p>
    <w:p>
      <w:pPr>
        <w:spacing w:after="120"/>
      </w:pPr>
      <w:r>
        <w:t xml:space="preserve">Checklist: CRM KeroSolar analisado com evidência real ✓ · matriz de reaproveitamento produzida ✓ · nenhuma remoção/reescrita do CRM existente ✓ · nenhum código KeroSolar copiado cegamente ✓ · Finance Core projetado como contrato, sem fiscal concreto ✓ · LegalEntity/Market/FiscalProfile/CountryPack/Currency separados corretamente ✓ · gate de segurança da seção 22 aplicado (convergência de código não forçada) ✓ · regressão completa passou (274/274) ✓ · typecheck/build limpos ✓ · migrations = 0 novas, 24 aplicadas ✓ · documentação entregue ✓.</w:t>
      </w:r>
    </w:p>
    <w:p>
      <w:pPr>
        <w:pBdr>
          <w:bottom w:val="single" w:color="AAAAAA" w:sz="6"/>
        </w:pBdr>
        <w:spacing w:after="200"/>
      </w:pPr>
    </w:p>
    <w:p>
      <w:pPr>
        <w:spacing w:after="120"/>
      </w:pPr>
      <w:r>
        <w:t xml:space="preserve">PARAR. NÃO iniciar T6. NÃO iniciar T4. NÃO iniciar F2. NÃO iniciar Finance Core completo. NÃO implementar Country Pack Portugal. Aguardando autorização explícita do fundador.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2026-09-15T02:44:38.102Z</dcterms:created>
  <dcterms:modified xsi:type="dcterms:W3CDTF">2026-09-15T02:44:38.102Z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