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T6 — Attribution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t xml:space="preserve">Etapa 1 de 5 de PM-NIGHT-RUN-01. Base: </w:t>
      </w:r>
      <w:r>
        <w:rPr>
          <w:rFonts w:ascii="Consolas" w:cs="Consolas" w:eastAsia="Consolas" w:hAnsi="Consolas"/>
          <w:color w:val="AA0000"/>
        </w:rPr>
        <w:t xml:space="preserve">RELATORIO-RECONCILIACAO-PM-CODE-HANDOFF-001.md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docs/PM_SANEAMENTO_01_FECHAMENTO.md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docs/PM_CRM_FIN_ARCH_01.md</w:t>
      </w:r>
      <w:r>
        <w:t xml:space="preserve"> (não refeitos do zero).</w:t>
      </w:r>
    </w:p>
    <w:p>
      <w:pPr>
        <w:pStyle w:val="Heading2"/>
        <w:spacing w:after="120" w:before="260"/>
      </w:pPr>
      <w:r>
        <w:t xml:space="preserve">1. Objetivo</w:t>
      </w:r>
    </w:p>
    <w:p>
      <w:pPr>
        <w:spacing w:after="120"/>
      </w:pPr>
      <w:r>
        <w:t xml:space="preserve">Capturar e persistir atribuição de marketing (UTM/gclid/fbclid/landing page/referrer) no fluxo real de captura pública de lead, em formato consultável (não Json solto), sem quebrar a regra crítica "lead persiste antes do WhatsApp".</w:t>
      </w:r>
    </w:p>
    <w:p>
      <w:pPr>
        <w:pStyle w:val="Heading2"/>
        <w:spacing w:after="120" w:before="260"/>
      </w:pPr>
      <w:r>
        <w:t xml:space="preserve">2. Estado inicial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Lead.origem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Contact.origem</w:t>
      </w:r>
      <w:r>
        <w:t xml:space="preserve"> eram strings livres sem estrutura de atribuição. Zero captura de UTM/gclid/fbclid confirmada em qualquer ponto do código (Relatório de Reconciliação). Site público já integrado a </w:t>
      </w:r>
      <w:r>
        <w:rPr>
          <w:rFonts w:ascii="Consolas" w:cs="Consolas" w:eastAsia="Consolas" w:hAnsi="Consolas"/>
          <w:color w:val="AA0000"/>
        </w:rPr>
        <w:t xml:space="preserve">POST /api/public/leads</w:t>
      </w:r>
      <w:r>
        <w:t xml:space="preserve"> desde a rodada anterior.</w:t>
      </w:r>
    </w:p>
    <w:p>
      <w:pPr>
        <w:pStyle w:val="Heading2"/>
        <w:spacing w:after="120" w:before="260"/>
      </w:pPr>
      <w:r>
        <w:t xml:space="preserve">3. Arquivos analisados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packages/db/prisma/schema.prisma</w:t>
      </w:r>
      <w:r>
        <w:t xml:space="preserve"> (models Contact/Lead), </w:t>
      </w:r>
      <w:r>
        <w:rPr>
          <w:rFonts w:ascii="Consolas" w:cs="Consolas" w:eastAsia="Consolas" w:hAnsi="Consolas"/>
          <w:color w:val="AA0000"/>
        </w:rPr>
        <w:t xml:space="preserve">apps/web/src/app/api/public/leads/route.ts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site-original/partiumarrocos.com.br/js/{data.js,cinema.js}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apps/web/src/app/(app)/leads/page.tsx</w:t>
      </w:r>
      <w:r>
        <w:t xml:space="preserve">.</w:t>
      </w:r>
    </w:p>
    <w:p>
      <w:pPr>
        <w:pStyle w:val="Heading2"/>
        <w:spacing w:after="120" w:before="260"/>
      </w:pPr>
      <w:r>
        <w:t xml:space="preserve">4. Arquitetura</w:t>
      </w:r>
    </w:p>
    <w:p>
      <w:pPr>
        <w:spacing w:after="120"/>
      </w:pPr>
      <w:r>
        <w:t xml:space="preserve">Decisão de modelagem (seção 7 da autorização — "não escolher Json apenas para evitar modelagem"): </w:t>
      </w:r>
      <w:r>
        <w:rPr>
          <w:b/>
          <w:bCs/>
        </w:rPr>
        <w:t xml:space="preserve">entidade dedicada</w:t>
      </w:r>
      <w:r>
        <w:t xml:space="preserve">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(tenant-scoped, RLS), não campos soltos em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 nem Json. Colunas indexadas (</w:t>
      </w:r>
      <w:r>
        <w:rPr>
          <w:rFonts w:ascii="Consolas" w:cs="Consolas" w:eastAsia="Consolas" w:hAnsi="Consolas"/>
          <w:color w:val="AA0000"/>
        </w:rPr>
        <w:t xml:space="preserve">source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campaign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contactId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leadId</w:t>
      </w:r>
      <w:r>
        <w:t xml:space="preserve">) — suporta diretamente </w:t>
      </w:r>
      <w:r>
        <w:rPr>
          <w:rFonts w:ascii="Consolas" w:cs="Consolas" w:eastAsia="Consolas" w:hAnsi="Consolas"/>
          <w:color w:val="AA0000"/>
        </w:rPr>
        <w:t xml:space="preserve">GROUP BY</w:t>
      </w:r>
      <w:r>
        <w:t xml:space="preserve"> pra "leads por source/campaign" sem tocar num blob.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tipo: FIRST|LAST|CONVERSION</w:t>
      </w:r>
      <w:r>
        <w:t xml:space="preserve"> já modela multi-touch, mas </w:t>
      </w:r>
      <w:r>
        <w:rPr>
          <w:b/>
          <w:bCs/>
        </w:rPr>
        <w:t xml:space="preserve">só `CONVERSION` é gravado</w:t>
      </w:r>
      <w:r>
        <w:t xml:space="preserve"> nesta rodada — capturar FIRST/LAST de verdade exige visitante/sessão persistente no site (cookie sobrevivendo a múltiplas visitas), que não existe e não foi construído aqui (a própria autorização diz "preparar posteriormente", não "implementar agora"). Documentado explicitamente no schema e no código, não escondido.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leadId</w:t>
      </w:r>
      <w:r>
        <w:t xml:space="preserve"> nulável de propósito — hoje sempre preenchido (todo touch nesta rodada nasce junto com um Lead), mas a coluna já aceita um touch sem lead (quando FIRST touch existir antes de qualquer conversão).</w:t>
      </w:r>
    </w:p>
    <w:p>
      <w:pPr>
        <w:pStyle w:val="Heading2"/>
        <w:spacing w:after="120" w:before="260"/>
      </w:pPr>
      <w:r>
        <w:t xml:space="preserve">5. Decisões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Entidade dedicada, não Json (seção 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Só CONVERSION touch nesta rodada (seções 1/7 — "preparar posteriormente" ≠ "implementar agora").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sobrescrever firstTouch: trivialmente satisfeito (nada grava FIRST ainda, nada pra sobrescrever).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Badge discreto no card do Kanban (</w:t>
      </w:r>
      <w:r>
        <w:rPr>
          <w:rFonts w:ascii="Consolas" w:cs="Consolas" w:eastAsia="Consolas" w:hAnsi="Consolas"/>
          <w:color w:val="AA0000"/>
        </w:rPr>
        <w:t xml:space="preserve">via {source} · {campaign}</w:t>
      </w:r>
      <w:r>
        <w:t xml:space="preserve">), </w:t>
      </w:r>
      <w:r>
        <w:rPr>
          <w:b/>
          <w:bCs/>
        </w:rPr>
        <w:t xml:space="preserve">sem</w:t>
      </w:r>
      <w:r>
        <w:t xml:space="preserve"> criar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— essa tela fica pra Etapa 3 (CRM Evolution), onde já está priorizada explicitamente, evitando duplicar trabalho entre etapas.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Melhorias de baixo risco do CRM (</w:t>
      </w:r>
      <w:r>
        <w:rPr>
          <w:rFonts w:ascii="Consolas" w:cs="Consolas" w:eastAsia="Consolas" w:hAnsi="Consolas"/>
          <w:color w:val="AA0000"/>
        </w:rPr>
        <w:t xml:space="preserve">Lead.lossReason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prioridade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Note.type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Task.type</w:t>
      </w:r>
      <w:r>
        <w:t xml:space="preserve">) </w:t>
      </w:r>
      <w:r>
        <w:rPr>
          <w:b/>
          <w:bCs/>
        </w:rPr>
        <w:t xml:space="preserve">não implementadas</w:t>
      </w:r>
      <w:r>
        <w:t xml:space="preserve"> nesta etapa — a autorização já as atribui explicitamente à Etapa 3.</w:t>
      </w:r>
    </w:p>
    <w:p>
      <w:pPr>
        <w:pStyle w:val="Heading2"/>
        <w:spacing w:after="120" w:before="260"/>
      </w:pPr>
      <w:r>
        <w:t xml:space="preserve">6.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packages/db/src/attribution.ts</w:t>
      </w:r>
      <w:r>
        <w:t xml:space="preserve"> (novo): </w:t>
      </w:r>
      <w:r>
        <w:rPr>
          <w:rFonts w:ascii="Consolas" w:cs="Consolas" w:eastAsia="Consolas" w:hAnsi="Consolas"/>
          <w:color w:val="AA0000"/>
        </w:rPr>
        <w:t xml:space="preserve">temAtribuicao</w:t>
      </w:r>
      <w:r>
        <w:t xml:space="preserve"> (pura), </w:t>
      </w:r>
      <w:r>
        <w:rPr>
          <w:rFonts w:ascii="Consolas" w:cs="Consolas" w:eastAsia="Consolas" w:hAnsi="Consolas"/>
          <w:color w:val="AA0000"/>
        </w:rPr>
        <w:t xml:space="preserve">registrarAttributionTouch</w:t>
      </w:r>
      <w:r>
        <w:t xml:space="preserve"> (recebe </w:t>
      </w:r>
      <w:r>
        <w:rPr>
          <w:rFonts w:ascii="Consolas" w:cs="Consolas" w:eastAsia="Consolas" w:hAnsi="Consolas"/>
          <w:color w:val="AA0000"/>
        </w:rPr>
        <w:t xml:space="preserve">tx</w:t>
      </w:r>
      <w:r>
        <w:t xml:space="preserve">, sempre chamado DENTRO da mesma transação que cria Contact/Lead — atomicidade real, nunca lead órfão de atribuição), </w:t>
      </w:r>
      <w:r>
        <w:rPr>
          <w:rFonts w:ascii="Consolas" w:cs="Consolas" w:eastAsia="Consolas" w:hAnsi="Consolas"/>
          <w:color w:val="AA0000"/>
        </w:rPr>
        <w:t xml:space="preserve">contarLeadsPorAtribuicao</w:t>
      </w:r>
      <w:r>
        <w:t xml:space="preserve"> (prova de consulta analítica).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apps/web/src/app/api/public/leads/route.ts</w:t>
      </w:r>
      <w:r>
        <w:t xml:space="preserve">: aceita campos opcionais de atribuição, sanitiza, grava na mesma transação.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site-original/.../js/cinema.js</w:t>
      </w:r>
      <w:r>
        <w:t xml:space="preserve">: captura </w:t>
      </w:r>
      <w:r>
        <w:rPr>
          <w:rFonts w:ascii="Consolas" w:cs="Consolas" w:eastAsia="Consolas" w:hAnsi="Consolas"/>
          <w:color w:val="AA0000"/>
        </w:rPr>
        <w:t xml:space="preserve">utm_*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gclid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fbclid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landingPage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referrer</w:t>
      </w:r>
      <w:r>
        <w:t xml:space="preserve"> da URL uma vez na carga da página, envia junto no POST — nunca bloqueia o formulário se a captura falhar (</w:t>
      </w:r>
      <w:r>
        <w:rPr>
          <w:rFonts w:ascii="Consolas" w:cs="Consolas" w:eastAsia="Consolas" w:hAnsi="Consolas"/>
          <w:color w:val="AA0000"/>
        </w:rPr>
        <w:t xml:space="preserve">try/catch</w:t>
      </w:r>
      <w:r>
        <w:t xml:space="preserve"> silencioso).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apps/web/src/app/(app)/leads/page.tsx</w:t>
      </w:r>
      <w:r>
        <w:t xml:space="preserve">: badge de atribuição no card, sem redesenho.</w:t>
      </w:r>
    </w:p>
    <w:p>
      <w:pPr>
        <w:pStyle w:val="Heading2"/>
        <w:spacing w:after="120" w:before="260"/>
      </w:pPr>
      <w:r>
        <w:t xml:space="preserve">7. Migrations</w:t>
      </w:r>
    </w:p>
    <w:p>
      <w:pPr>
        <w:spacing w:after="120"/>
      </w:pPr>
      <w:r>
        <w:t xml:space="preserve">2 novas, aditivas: </w:t>
      </w:r>
      <w:r>
        <w:rPr>
          <w:rFonts w:ascii="Consolas" w:cs="Consolas" w:eastAsia="Consolas" w:hAnsi="Consolas"/>
          <w:color w:val="AA0000"/>
        </w:rPr>
        <w:t xml:space="preserve">20260915010000_attribution_touch</w:t>
      </w:r>
      <w:r>
        <w:t xml:space="preserve"> (tabela + enum), </w:t>
      </w:r>
      <w:r>
        <w:rPr>
          <w:rFonts w:ascii="Consolas" w:cs="Consolas" w:eastAsia="Consolas" w:hAnsi="Consolas"/>
          <w:color w:val="AA0000"/>
        </w:rPr>
        <w:t xml:space="preserve">20260915010100_enable_rls_attribution_touch</w:t>
      </w:r>
      <w:r>
        <w:t xml:space="preserve"> (RLS). Nenhuma coluna existente alterada. </w:t>
      </w:r>
      <w:r>
        <w:rPr>
          <w:rFonts w:ascii="Consolas" w:cs="Consolas" w:eastAsia="Consolas" w:hAnsi="Consolas"/>
          <w:color w:val="AA0000"/>
        </w:rPr>
        <w:t xml:space="preserve">rls.sql</w:t>
      </w:r>
      <w:r>
        <w:t xml:space="preserve"> atualizado (achado registrado no caminho: RLS de T5 nunca tinha sido documentado nesse arquivo — corrigido só como nota, não como mudança funcional).</w:t>
      </w:r>
    </w:p>
    <w:p>
      <w:pPr>
        <w:pStyle w:val="Heading2"/>
        <w:spacing w:after="120" w:before="260"/>
      </w:pPr>
      <w:r>
        <w:t xml:space="preserve">8. Segurança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testado: Tenant B não lê/escreve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do Tenant A (FK composta rejeita mesmo tentando forçar).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Sanitização testada: valores longos truncados no tamanho máximo; string vazia/só espaço vira </w:t>
      </w:r>
      <w:r>
        <w:rPr>
          <w:rFonts w:ascii="Consolas" w:cs="Consolas" w:eastAsia="Consolas" w:hAnsi="Consolas"/>
          <w:color w:val="AA0000"/>
        </w:rPr>
        <w:t xml:space="preserve">null</w:t>
      </w:r>
      <w:r>
        <w:t xml:space="preserve">; um payload tipo </w:t>
      </w:r>
      <w:r>
        <w:rPr>
          <w:rFonts w:ascii="Consolas" w:cs="Consolas" w:eastAsia="Consolas" w:hAnsi="Consolas"/>
          <w:color w:val="AA0000"/>
        </w:rPr>
        <w:t xml:space="preserve">&lt;script&gt;</w:t>
      </w:r>
      <w:r>
        <w:t xml:space="preserve"> grava como texto literal, nunca interpretado.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Fluxo crítico preservado: lead é criado mesmo com atribuição ausente ou inválida (testado).</w:t>
      </w:r>
    </w:p>
    <w:p>
      <w:pPr>
        <w:pStyle w:val="Heading2"/>
        <w:spacing w:after="120" w:before="260"/>
      </w:pPr>
      <w:r>
        <w:t xml:space="preserve">9. Testes</w:t>
      </w:r>
    </w:p>
    <w:p>
      <w:pPr>
        <w:spacing w:after="120"/>
      </w:pPr>
      <w:r>
        <w:t xml:space="preserve">14 novos: 3 unitários (</w:t>
      </w:r>
      <w:r>
        <w:rPr>
          <w:rFonts w:ascii="Consolas" w:cs="Consolas" w:eastAsia="Consolas" w:hAnsi="Consolas"/>
          <w:color w:val="AA0000"/>
        </w:rPr>
        <w:t xml:space="preserve">temAtribuicao</w:t>
      </w:r>
      <w:r>
        <w:t xml:space="preserve">), 8 integração (</w:t>
      </w:r>
      <w:r>
        <w:rPr>
          <w:rFonts w:ascii="Consolas" w:cs="Consolas" w:eastAsia="Consolas" w:hAnsi="Consolas"/>
          <w:color w:val="AA0000"/>
        </w:rPr>
        <w:t xml:space="preserve">packages/db/tests/integration/attribution.test.ts</w:t>
      </w:r>
      <w:r>
        <w:t xml:space="preserve"> — sanitização, RLS, IDOR, consulta analítica), 3 na rota (</w:t>
      </w:r>
      <w:r>
        <w:rPr>
          <w:rFonts w:ascii="Consolas" w:cs="Consolas" w:eastAsia="Consolas" w:hAnsi="Consolas"/>
          <w:color w:val="AA0000"/>
        </w:rPr>
        <w:t xml:space="preserve">public-leads-route.test.ts</w:t>
      </w:r>
      <w:r>
        <w:t xml:space="preserve"> — captura completa, ausência não grava linha vazia, atribuição inválida não bloqueia o lead).</w:t>
      </w:r>
    </w:p>
    <w:p>
      <w:pPr>
        <w:pStyle w:val="Heading2"/>
        <w:spacing w:after="120" w:before="260"/>
      </w:pPr>
      <w:r>
        <w:t xml:space="preserve">10. Regressão</w:t>
      </w:r>
    </w:p>
    <w:p>
      <w:pPr>
        <w:spacing w:after="120"/>
      </w:pPr>
      <w:r>
        <w:rPr>
          <w:b/>
          <w:bCs/>
        </w:rPr>
        <w:t xml:space="preserve">288/288 passando</w:t>
      </w:r>
      <w:r>
        <w:t xml:space="preserve"> (203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, 85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 — 14 a mais que o baseline de 274.</w:t>
      </w:r>
    </w:p>
    <w:p>
      <w:pPr>
        <w:pStyle w:val="Heading2"/>
        <w:spacing w:after="120" w:before="260"/>
      </w:pPr>
      <w:r>
        <w:t xml:space="preserve">11. Typecheck</w:t>
      </w:r>
    </w:p>
    <w:p>
      <w:pPr>
        <w:spacing w:after="120"/>
      </w:pPr>
      <w:r>
        <w:t xml:space="preserve">Limpo nos dois pacotes.</w:t>
      </w:r>
    </w:p>
    <w:p>
      <w:pPr>
        <w:pStyle w:val="Heading2"/>
        <w:spacing w:after="120" w:before="260"/>
      </w:pPr>
      <w:r>
        <w:t xml:space="preserve">12. Build</w:t>
      </w:r>
    </w:p>
    <w:p>
      <w:pPr>
        <w:spacing w:after="120"/>
      </w:pPr>
      <w:r>
        <w:t xml:space="preserve">Limpo (</w:t>
      </w:r>
      <w:r>
        <w:rPr>
          <w:rFonts w:ascii="Consolas" w:cs="Consolas" w:eastAsia="Consolas" w:hAnsi="Consolas"/>
          <w:color w:val="AA0000"/>
        </w:rPr>
        <w:t xml:space="preserve">next build</w:t>
      </w:r>
      <w:r>
        <w:t xml:space="preserve">, exit 0, 16 rotas — sem rota nova).</w:t>
      </w:r>
    </w:p>
    <w:p>
      <w:pPr>
        <w:pStyle w:val="Heading2"/>
        <w:spacing w:after="120" w:before="260"/>
      </w:pPr>
      <w:r>
        <w:t xml:space="preserve">13. Dependências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14. Limitações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Só CONVERSION touch — FIRST/LAST exigem visitante/sessão persistente (fora de escopo).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landingPage</w:t>
      </w:r>
      <w:r>
        <w:t xml:space="preserve"> é sempre a página atual no momento do envio (site de página única em scroll) — não necessariamente a primeira página que o visitante viu, já que não há rastreamento de sessão entre visitas.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Análise "vendas por campaign"/CAC/ROAS depende de Finance Core com receita real (fora desta etapa) — só a contagem de leads foi provada.</w:t>
      </w:r>
    </w:p>
    <w:p>
      <w:pPr>
        <w:pStyle w:val="Heading2"/>
        <w:spacing w:after="120" w:before="260"/>
      </w:pPr>
      <w:r>
        <w:t xml:space="preserve">15. Decisões humanas pendentes</w:t>
      </w:r>
    </w:p>
    <w:p>
      <w:pPr>
        <w:spacing w:after="120"/>
      </w:pPr>
      <w:r>
        <w:t xml:space="preserve">Nenhuma nova. Lista das rodadas anteriores continua sem mudança.</w:t>
      </w:r>
    </w:p>
    <w:p>
      <w:pPr>
        <w:pStyle w:val="Heading2"/>
        <w:spacing w:after="120" w:before="260"/>
      </w:pPr>
      <w:r>
        <w:t xml:space="preserve">16. Resultado</w:t>
      </w:r>
    </w:p>
    <w:p>
      <w:pPr>
        <w:spacing w:after="120"/>
      </w:pPr>
      <w:r>
        <w:t xml:space="preserve">Verificado ponta a ponta no navegador real (não só teste automatizado): formulário do site com </w:t>
      </w:r>
      <w:r>
        <w:rPr>
          <w:rFonts w:ascii="Consolas" w:cs="Consolas" w:eastAsia="Consolas" w:hAnsi="Consolas"/>
          <w:color w:val="AA0000"/>
        </w:rPr>
        <w:t xml:space="preserve">?utm_source=google&amp;utm_medium=cpc&amp;utm_campaign=marrocos-2026&amp;gclid=...</w:t>
      </w:r>
      <w:r>
        <w:t xml:space="preserve"> na URL → </w:t>
      </w:r>
      <w:r>
        <w:rPr>
          <w:rFonts w:ascii="Consolas" w:cs="Consolas" w:eastAsia="Consolas" w:hAnsi="Consolas"/>
          <w:color w:val="AA0000"/>
        </w:rPr>
        <w:t xml:space="preserve">POST /api/public/leads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gravado com os valores corretos, ligado ao Contact e ao Lead reais → confirmado direto no banco → WhatsApp abriu depois, na ordem certa.</w:t>
      </w:r>
    </w:p>
    <w:p>
      <w:pPr>
        <w:pStyle w:val="Heading2"/>
        <w:spacing w:after="120" w:before="260"/>
      </w:pPr>
      <w:r>
        <w:t xml:space="preserve">17. Status</w:t>
      </w:r>
    </w:p>
    <w:p>
      <w:pPr>
        <w:spacing w:after="120"/>
      </w:pPr>
      <w:r>
        <w:rPr>
          <w:b/>
          <w:bCs/>
        </w:rPr>
        <w:t xml:space="preserve">GREEN.</w:t>
      </w:r>
    </w:p>
    <w:p>
      <w:pPr>
        <w:pStyle w:val="Heading2"/>
        <w:spacing w:after="120" w:before="260"/>
      </w:pPr>
      <w:r>
        <w:t xml:space="preserve">18. Próximo bloco autorizado</w:t>
      </w:r>
    </w:p>
    <w:p>
      <w:pPr>
        <w:spacing w:after="120"/>
      </w:pPr>
      <w:r>
        <w:t xml:space="preserve">Etapa 2 — F2 Internacionalização Foundation.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2026-09-15T03:05:14.350Z</dcterms:created>
  <dcterms:modified xsi:type="dcterms:W3CDTF">2026-09-15T03:05:14.351Z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