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330A6" w14:textId="5735D4FA" w:rsidR="0075424F" w:rsidRPr="00C8554B" w:rsidRDefault="00CB7CFF" w:rsidP="00CB7CFF">
      <w:pPr>
        <w:spacing w:line="360" w:lineRule="auto"/>
        <w:jc w:val="center"/>
        <w:rPr>
          <w:rFonts w:ascii="Times New Roman" w:eastAsia="Times New Roman" w:hAnsi="Times New Roman" w:cs="Times New Roman"/>
          <w:b/>
          <w:sz w:val="24"/>
          <w:szCs w:val="24"/>
        </w:rPr>
      </w:pPr>
      <w:r w:rsidRPr="00C8554B">
        <w:rPr>
          <w:rFonts w:ascii="Times New Roman" w:eastAsia="Times New Roman" w:hAnsi="Times New Roman" w:cs="Times New Roman"/>
          <w:b/>
          <w:sz w:val="24"/>
          <w:szCs w:val="24"/>
        </w:rPr>
        <w:t>ANÁLISE EPIDEMIOLÓGICA DAS HEPATITES B E C NO MUNICÍPIO DE OSÓRIO/RS (2003-2023)</w:t>
      </w:r>
    </w:p>
    <w:p w14:paraId="57BAB950" w14:textId="77777777" w:rsidR="00256DDA" w:rsidRPr="006F4C57" w:rsidRDefault="00256DDA" w:rsidP="006F4C57">
      <w:pPr>
        <w:spacing w:line="360" w:lineRule="auto"/>
        <w:jc w:val="center"/>
        <w:rPr>
          <w:rFonts w:ascii="Times New Roman" w:eastAsia="Times New Roman" w:hAnsi="Times New Roman" w:cs="Times New Roman"/>
          <w:bCs/>
          <w:color w:val="000000"/>
          <w:sz w:val="24"/>
          <w:szCs w:val="24"/>
        </w:rPr>
      </w:pPr>
    </w:p>
    <w:p w14:paraId="56A0E9EE" w14:textId="1C3EFB64" w:rsidR="00256DDA" w:rsidRPr="006F4C57" w:rsidRDefault="00CB7CFF" w:rsidP="00CB7CFF">
      <w:pPr>
        <w:spacing w:line="360" w:lineRule="auto"/>
        <w:jc w:val="center"/>
        <w:rPr>
          <w:rFonts w:ascii="Times New Roman" w:eastAsia="Times New Roman" w:hAnsi="Times New Roman" w:cs="Times New Roman"/>
          <w:bCs/>
          <w:sz w:val="24"/>
          <w:szCs w:val="24"/>
        </w:rPr>
      </w:pPr>
      <w:r w:rsidRPr="006F4C57">
        <w:rPr>
          <w:rFonts w:ascii="Times New Roman" w:eastAsia="Times New Roman" w:hAnsi="Times New Roman" w:cs="Times New Roman"/>
          <w:bCs/>
          <w:sz w:val="24"/>
          <w:szCs w:val="24"/>
        </w:rPr>
        <w:t>EPIDEMIOLOGICAL ANALYSIS OF HEPATITIS B AND C IN THE MUNICIPALITY OF OSÓRIO/RS (2003-2023)</w:t>
      </w:r>
    </w:p>
    <w:p w14:paraId="65006CA7" w14:textId="77777777" w:rsidR="00CB7CFF" w:rsidRPr="006F4C57" w:rsidRDefault="00CB7CFF" w:rsidP="00CB7CFF">
      <w:pPr>
        <w:spacing w:line="360" w:lineRule="auto"/>
        <w:jc w:val="center"/>
        <w:rPr>
          <w:rFonts w:ascii="Times New Roman" w:eastAsia="Times New Roman" w:hAnsi="Times New Roman" w:cs="Times New Roman"/>
          <w:bCs/>
          <w:sz w:val="24"/>
          <w:szCs w:val="24"/>
        </w:rPr>
      </w:pPr>
    </w:p>
    <w:p w14:paraId="18F94FC8" w14:textId="77777777" w:rsidR="00774BC9" w:rsidRDefault="00CB7CFF" w:rsidP="00CB7CFF">
      <w:pPr>
        <w:spacing w:line="360" w:lineRule="auto"/>
        <w:jc w:val="center"/>
        <w:rPr>
          <w:rFonts w:ascii="Times New Roman" w:eastAsia="Times New Roman" w:hAnsi="Times New Roman" w:cs="Times New Roman"/>
          <w:color w:val="000000"/>
          <w:sz w:val="24"/>
          <w:szCs w:val="24"/>
        </w:rPr>
      </w:pPr>
      <w:r w:rsidRPr="006F4C57">
        <w:rPr>
          <w:rFonts w:ascii="Times New Roman" w:eastAsia="Times New Roman" w:hAnsi="Times New Roman" w:cs="Times New Roman"/>
          <w:color w:val="000000"/>
          <w:sz w:val="24"/>
          <w:szCs w:val="24"/>
        </w:rPr>
        <w:t>Emerson Alves da Silva</w:t>
      </w:r>
      <w:r w:rsidR="00752D4E" w:rsidRPr="006F4C57">
        <w:rPr>
          <w:rFonts w:ascii="Times New Roman" w:eastAsia="Times New Roman" w:hAnsi="Times New Roman" w:cs="Times New Roman"/>
          <w:color w:val="000000"/>
          <w:sz w:val="24"/>
          <w:szCs w:val="24"/>
        </w:rPr>
        <w:t>¹</w:t>
      </w:r>
      <w:r w:rsidRPr="006F4C57">
        <w:rPr>
          <w:rFonts w:ascii="Times New Roman" w:eastAsia="Times New Roman" w:hAnsi="Times New Roman" w:cs="Times New Roman"/>
          <w:color w:val="000000"/>
          <w:sz w:val="24"/>
          <w:szCs w:val="24"/>
        </w:rPr>
        <w:t>, Henrique Dutra Schell</w:t>
      </w:r>
      <w:r w:rsidR="005971DA" w:rsidRPr="006F4C57">
        <w:rPr>
          <w:rFonts w:ascii="Times New Roman" w:eastAsia="Times New Roman" w:hAnsi="Times New Roman" w:cs="Times New Roman"/>
          <w:color w:val="000000"/>
          <w:sz w:val="24"/>
          <w:szCs w:val="24"/>
        </w:rPr>
        <w:t>¹</w:t>
      </w:r>
      <w:r w:rsidRPr="006F4C57">
        <w:rPr>
          <w:rFonts w:ascii="Times New Roman" w:eastAsia="Times New Roman" w:hAnsi="Times New Roman" w:cs="Times New Roman"/>
          <w:color w:val="000000"/>
          <w:sz w:val="24"/>
          <w:szCs w:val="24"/>
        </w:rPr>
        <w:t xml:space="preserve">, </w:t>
      </w:r>
      <w:r w:rsidR="005971DA" w:rsidRPr="006F4C57">
        <w:rPr>
          <w:rFonts w:ascii="Times New Roman" w:eastAsia="Times New Roman" w:hAnsi="Times New Roman" w:cs="Times New Roman"/>
          <w:color w:val="000000"/>
          <w:sz w:val="24"/>
          <w:szCs w:val="24"/>
        </w:rPr>
        <w:t>Luiza Andrade Décio</w:t>
      </w:r>
      <w:r w:rsidR="008548A8" w:rsidRPr="006F4C57">
        <w:rPr>
          <w:rFonts w:ascii="Times New Roman" w:eastAsia="Times New Roman" w:hAnsi="Times New Roman" w:cs="Times New Roman"/>
          <w:color w:val="000000"/>
          <w:sz w:val="24"/>
          <w:szCs w:val="24"/>
        </w:rPr>
        <w:t>¹, Gabriel Borges Kiener¹</w:t>
      </w:r>
      <w:r w:rsidR="00676EF1" w:rsidRPr="006F4C57">
        <w:rPr>
          <w:rFonts w:ascii="Times New Roman" w:eastAsia="Times New Roman" w:hAnsi="Times New Roman" w:cs="Times New Roman"/>
          <w:color w:val="000000"/>
          <w:sz w:val="24"/>
          <w:szCs w:val="24"/>
        </w:rPr>
        <w:t xml:space="preserve">, Gabriel Corteze Netto¹ </w:t>
      </w:r>
      <w:r w:rsidR="008548A8" w:rsidRPr="006F4C57">
        <w:rPr>
          <w:rFonts w:ascii="Times New Roman" w:eastAsia="Times New Roman" w:hAnsi="Times New Roman" w:cs="Times New Roman"/>
          <w:color w:val="000000"/>
          <w:sz w:val="24"/>
          <w:szCs w:val="24"/>
        </w:rPr>
        <w:t>e</w:t>
      </w:r>
      <w:r w:rsidR="005971DA" w:rsidRPr="006F4C57">
        <w:rPr>
          <w:rFonts w:ascii="Times New Roman" w:eastAsia="Times New Roman" w:hAnsi="Times New Roman" w:cs="Times New Roman"/>
          <w:color w:val="000000"/>
          <w:sz w:val="24"/>
          <w:szCs w:val="24"/>
        </w:rPr>
        <w:t xml:space="preserve"> </w:t>
      </w:r>
      <w:r w:rsidR="00752D4E" w:rsidRPr="006F4C57">
        <w:rPr>
          <w:rFonts w:ascii="Times New Roman" w:eastAsia="Times New Roman" w:hAnsi="Times New Roman" w:cs="Times New Roman"/>
          <w:color w:val="000000"/>
          <w:sz w:val="24"/>
          <w:szCs w:val="24"/>
        </w:rPr>
        <w:t>Roberta Oriques Becker</w:t>
      </w:r>
      <w:r w:rsidR="005971DA" w:rsidRPr="006F4C57">
        <w:rPr>
          <w:rFonts w:ascii="Times New Roman" w:eastAsia="Times New Roman" w:hAnsi="Times New Roman" w:cs="Times New Roman"/>
          <w:color w:val="000000"/>
          <w:sz w:val="24"/>
          <w:szCs w:val="24"/>
          <w:vertAlign w:val="superscript"/>
        </w:rPr>
        <w:t>1</w:t>
      </w:r>
      <w:r w:rsidR="00752D4E" w:rsidRPr="006F4C57">
        <w:rPr>
          <w:rFonts w:ascii="Times New Roman" w:eastAsia="Times New Roman" w:hAnsi="Times New Roman" w:cs="Times New Roman"/>
          <w:color w:val="000000"/>
          <w:sz w:val="24"/>
          <w:szCs w:val="24"/>
        </w:rPr>
        <w:t>*</w:t>
      </w:r>
      <w:r w:rsidR="008548A8" w:rsidRPr="006F4C57">
        <w:rPr>
          <w:rFonts w:ascii="Times New Roman" w:eastAsia="Times New Roman" w:hAnsi="Times New Roman" w:cs="Times New Roman"/>
          <w:color w:val="000000"/>
          <w:sz w:val="24"/>
          <w:szCs w:val="24"/>
        </w:rPr>
        <w:t>.</w:t>
      </w:r>
    </w:p>
    <w:p w14:paraId="14FC70FF" w14:textId="77777777" w:rsidR="00774BC9" w:rsidRPr="00774BC9" w:rsidRDefault="00774BC9" w:rsidP="00CB7CFF">
      <w:pPr>
        <w:spacing w:line="360" w:lineRule="auto"/>
        <w:jc w:val="center"/>
        <w:rPr>
          <w:rFonts w:ascii="Times New Roman" w:eastAsia="Times New Roman" w:hAnsi="Times New Roman" w:cs="Times New Roman"/>
          <w:sz w:val="24"/>
          <w:szCs w:val="24"/>
        </w:rPr>
      </w:pPr>
    </w:p>
    <w:p w14:paraId="077E9826" w14:textId="46CF4791" w:rsidR="00752D4E" w:rsidRPr="006F4C57" w:rsidRDefault="005971DA" w:rsidP="00CB7CFF">
      <w:pPr>
        <w:spacing w:line="360" w:lineRule="auto"/>
        <w:jc w:val="center"/>
        <w:rPr>
          <w:rFonts w:ascii="Times New Roman" w:eastAsia="Times New Roman" w:hAnsi="Times New Roman" w:cs="Times New Roman"/>
          <w:color w:val="000000"/>
          <w:sz w:val="24"/>
          <w:szCs w:val="24"/>
        </w:rPr>
      </w:pPr>
      <w:r w:rsidRPr="006F4C57">
        <w:rPr>
          <w:rFonts w:ascii="Times New Roman" w:eastAsia="Times New Roman" w:hAnsi="Times New Roman" w:cs="Times New Roman"/>
          <w:color w:val="000000"/>
          <w:sz w:val="24"/>
          <w:szCs w:val="24"/>
        </w:rPr>
        <w:t>¹</w:t>
      </w:r>
      <w:hyperlink r:id="rId8" w:history="1">
        <w:r w:rsidRPr="006F4C57">
          <w:rPr>
            <w:rStyle w:val="Hyperlink"/>
            <w:rFonts w:ascii="Times New Roman" w:eastAsia="Times New Roman" w:hAnsi="Times New Roman" w:cs="Times New Roman"/>
            <w:sz w:val="24"/>
            <w:szCs w:val="24"/>
          </w:rPr>
          <w:t>emersonhomero@hotmail.com</w:t>
        </w:r>
      </w:hyperlink>
      <w:r w:rsidR="00CB7CFF" w:rsidRPr="006F4C57">
        <w:rPr>
          <w:rFonts w:ascii="Times New Roman" w:eastAsia="Times New Roman" w:hAnsi="Times New Roman" w:cs="Times New Roman"/>
          <w:color w:val="000000"/>
          <w:sz w:val="24"/>
          <w:szCs w:val="24"/>
        </w:rPr>
        <w:t>, Centro Universitário Cenecista de Osório (UNICNEC), Osório, Rio Grande do Sul, Brasil.</w:t>
      </w:r>
    </w:p>
    <w:p w14:paraId="36EDD708" w14:textId="2419E6E3" w:rsidR="00CB7CFF" w:rsidRPr="006F4C57" w:rsidRDefault="005971DA" w:rsidP="00752D4E">
      <w:pPr>
        <w:spacing w:line="360" w:lineRule="auto"/>
        <w:jc w:val="center"/>
        <w:rPr>
          <w:rFonts w:ascii="Times New Roman" w:eastAsia="Times New Roman" w:hAnsi="Times New Roman" w:cs="Times New Roman"/>
          <w:color w:val="000000"/>
          <w:sz w:val="24"/>
          <w:szCs w:val="24"/>
        </w:rPr>
      </w:pPr>
      <w:r w:rsidRPr="006F4C57">
        <w:rPr>
          <w:rFonts w:ascii="Times New Roman" w:eastAsia="Times New Roman" w:hAnsi="Times New Roman" w:cs="Times New Roman"/>
          <w:color w:val="000000"/>
          <w:sz w:val="24"/>
          <w:szCs w:val="24"/>
        </w:rPr>
        <w:t>¹</w:t>
      </w:r>
      <w:hyperlink r:id="rId9" w:history="1">
        <w:r w:rsidRPr="006F4C57">
          <w:rPr>
            <w:rStyle w:val="Hyperlink"/>
            <w:rFonts w:ascii="Times New Roman" w:eastAsia="Times New Roman" w:hAnsi="Times New Roman" w:cs="Times New Roman"/>
            <w:sz w:val="24"/>
            <w:szCs w:val="24"/>
          </w:rPr>
          <w:t>henrique.schell@gmail.com</w:t>
        </w:r>
      </w:hyperlink>
      <w:r w:rsidR="00CB7CFF" w:rsidRPr="006F4C57">
        <w:rPr>
          <w:rFonts w:ascii="Times New Roman" w:eastAsia="Times New Roman" w:hAnsi="Times New Roman" w:cs="Times New Roman"/>
          <w:color w:val="000000"/>
          <w:sz w:val="24"/>
          <w:szCs w:val="24"/>
        </w:rPr>
        <w:t>, Centro Universitário Cenecista de Osório (UNICNEC), Osório, Rio Grande do Sul, Brasil.</w:t>
      </w:r>
    </w:p>
    <w:p w14:paraId="288F0370" w14:textId="4421495B" w:rsidR="00F015AE" w:rsidRDefault="005971DA" w:rsidP="00F015AE">
      <w:pPr>
        <w:spacing w:line="360" w:lineRule="auto"/>
        <w:jc w:val="center"/>
        <w:rPr>
          <w:rFonts w:ascii="Times New Roman" w:eastAsia="Times New Roman" w:hAnsi="Times New Roman" w:cs="Times New Roman"/>
          <w:color w:val="000000"/>
          <w:sz w:val="24"/>
          <w:szCs w:val="24"/>
        </w:rPr>
      </w:pPr>
      <w:r w:rsidRPr="006F4C57">
        <w:rPr>
          <w:rFonts w:ascii="Times New Roman" w:eastAsia="Times New Roman" w:hAnsi="Times New Roman" w:cs="Times New Roman"/>
          <w:color w:val="000000"/>
          <w:sz w:val="24"/>
          <w:szCs w:val="24"/>
        </w:rPr>
        <w:t>¹</w:t>
      </w:r>
      <w:hyperlink r:id="rId10" w:tgtFrame="_blank" w:history="1">
        <w:r w:rsidRPr="006F4C57">
          <w:rPr>
            <w:rStyle w:val="Hyperlink"/>
            <w:rFonts w:ascii="Times New Roman" w:eastAsia="Times New Roman" w:hAnsi="Times New Roman" w:cs="Times New Roman"/>
            <w:sz w:val="24"/>
            <w:szCs w:val="24"/>
          </w:rPr>
          <w:t>luizaadecio@gmail.com</w:t>
        </w:r>
      </w:hyperlink>
      <w:r w:rsidRPr="006F4C57">
        <w:rPr>
          <w:rFonts w:ascii="Times New Roman" w:eastAsia="Times New Roman" w:hAnsi="Times New Roman" w:cs="Times New Roman"/>
          <w:color w:val="000000"/>
          <w:sz w:val="24"/>
          <w:szCs w:val="24"/>
        </w:rPr>
        <w:t>, Centro Universitário Cenecista de Osório (UNICNEC), Osório, Rio Grande do Sul, Brasil.</w:t>
      </w:r>
    </w:p>
    <w:p w14:paraId="2484A45E" w14:textId="1D1FAA40" w:rsidR="00B871AA" w:rsidRPr="006F4C57" w:rsidRDefault="00950A70" w:rsidP="00950A70">
      <w:pPr>
        <w:spacing w:line="360" w:lineRule="auto"/>
        <w:jc w:val="center"/>
        <w:rPr>
          <w:rFonts w:ascii="Times New Roman" w:eastAsia="Times New Roman" w:hAnsi="Times New Roman" w:cs="Times New Roman"/>
          <w:color w:val="000000"/>
          <w:sz w:val="24"/>
          <w:szCs w:val="24"/>
        </w:rPr>
      </w:pPr>
      <w:r w:rsidRPr="006F4C57">
        <w:rPr>
          <w:rFonts w:ascii="Times New Roman" w:eastAsia="Times New Roman" w:hAnsi="Times New Roman" w:cs="Times New Roman"/>
          <w:color w:val="000000"/>
          <w:sz w:val="24"/>
          <w:szCs w:val="24"/>
        </w:rPr>
        <w:t>¹</w:t>
      </w:r>
      <w:hyperlink r:id="rId11" w:history="1">
        <w:r w:rsidRPr="00950A70">
          <w:rPr>
            <w:rStyle w:val="Hyperlink"/>
            <w:rFonts w:ascii="Times New Roman" w:eastAsia="Times New Roman" w:hAnsi="Times New Roman" w:cs="Times New Roman"/>
            <w:sz w:val="24"/>
            <w:szCs w:val="24"/>
          </w:rPr>
          <w:t>gabrielbkiener@gmail.com</w:t>
        </w:r>
      </w:hyperlink>
      <w:r>
        <w:rPr>
          <w:rFonts w:ascii="Times New Roman" w:eastAsia="Times New Roman" w:hAnsi="Times New Roman" w:cs="Times New Roman"/>
          <w:color w:val="000000"/>
          <w:sz w:val="24"/>
          <w:szCs w:val="24"/>
        </w:rPr>
        <w:t xml:space="preserve"> ,</w:t>
      </w:r>
      <w:r w:rsidR="00B871AA" w:rsidRPr="006F4C57">
        <w:rPr>
          <w:rFonts w:ascii="Times New Roman" w:eastAsia="Times New Roman" w:hAnsi="Times New Roman" w:cs="Times New Roman"/>
          <w:color w:val="000000"/>
          <w:sz w:val="24"/>
          <w:szCs w:val="24"/>
        </w:rPr>
        <w:t>Centro Universitário Cenecista de Osório (UNICNEC), Osório, Rio Grande do Sul, Brasil.</w:t>
      </w:r>
    </w:p>
    <w:p w14:paraId="637EF9BB" w14:textId="01C634B9" w:rsidR="00676EF1" w:rsidRPr="006F4C57" w:rsidRDefault="00676EF1" w:rsidP="00F015AE">
      <w:pPr>
        <w:spacing w:line="360" w:lineRule="auto"/>
        <w:jc w:val="center"/>
        <w:rPr>
          <w:rFonts w:ascii="Times New Roman" w:eastAsia="Times New Roman" w:hAnsi="Times New Roman" w:cs="Times New Roman"/>
          <w:color w:val="000000"/>
          <w:sz w:val="24"/>
          <w:szCs w:val="24"/>
        </w:rPr>
      </w:pPr>
      <w:r w:rsidRPr="006F4C57">
        <w:rPr>
          <w:rFonts w:ascii="Times New Roman" w:eastAsia="Times New Roman" w:hAnsi="Times New Roman" w:cs="Times New Roman"/>
          <w:color w:val="000000"/>
          <w:sz w:val="24"/>
          <w:szCs w:val="24"/>
        </w:rPr>
        <w:t>¹</w:t>
      </w:r>
      <w:hyperlink r:id="rId12" w:history="1">
        <w:r w:rsidRPr="006F4C57">
          <w:rPr>
            <w:rStyle w:val="Hyperlink"/>
            <w:rFonts w:ascii="Times New Roman" w:eastAsia="Times New Roman" w:hAnsi="Times New Roman" w:cs="Times New Roman"/>
            <w:sz w:val="24"/>
            <w:szCs w:val="24"/>
          </w:rPr>
          <w:t>1905.biomedicina@cnec.br</w:t>
        </w:r>
      </w:hyperlink>
      <w:r w:rsidRPr="006F4C57">
        <w:rPr>
          <w:rFonts w:ascii="Times New Roman" w:eastAsia="Times New Roman" w:hAnsi="Times New Roman" w:cs="Times New Roman"/>
          <w:color w:val="000000"/>
          <w:sz w:val="24"/>
          <w:szCs w:val="24"/>
        </w:rPr>
        <w:t>, Centro Universitário Cenecista de Osório (UNICNEC), Osório, Rio Grande do Sul, Brasil.</w:t>
      </w:r>
    </w:p>
    <w:p w14:paraId="47D8DF63" w14:textId="50115171" w:rsidR="005971DA" w:rsidRDefault="005971DA" w:rsidP="00F015AE">
      <w:pPr>
        <w:spacing w:line="360" w:lineRule="auto"/>
        <w:jc w:val="center"/>
        <w:rPr>
          <w:rFonts w:ascii="Times New Roman" w:eastAsia="Times New Roman" w:hAnsi="Times New Roman" w:cs="Times New Roman"/>
          <w:color w:val="000000"/>
          <w:sz w:val="24"/>
          <w:szCs w:val="24"/>
        </w:rPr>
      </w:pPr>
      <w:r w:rsidRPr="006F4C57">
        <w:rPr>
          <w:rFonts w:ascii="Times New Roman" w:eastAsia="Times New Roman" w:hAnsi="Times New Roman" w:cs="Times New Roman"/>
          <w:color w:val="000000"/>
          <w:sz w:val="24"/>
          <w:szCs w:val="24"/>
        </w:rPr>
        <w:t>¹</w:t>
      </w:r>
      <w:hyperlink r:id="rId13">
        <w:r w:rsidR="00256DDA" w:rsidRPr="006F4C57">
          <w:rPr>
            <w:rFonts w:ascii="Times New Roman" w:eastAsia="Times New Roman" w:hAnsi="Times New Roman" w:cs="Times New Roman"/>
            <w:color w:val="0000FF"/>
            <w:sz w:val="24"/>
            <w:szCs w:val="24"/>
            <w:u w:val="single"/>
          </w:rPr>
          <w:t>1905.robertaoriques@cnec.br</w:t>
        </w:r>
      </w:hyperlink>
      <w:r w:rsidR="00256DDA" w:rsidRPr="006F4C57">
        <w:rPr>
          <w:rFonts w:ascii="Times New Roman" w:eastAsia="Times New Roman" w:hAnsi="Times New Roman" w:cs="Times New Roman"/>
          <w:color w:val="000000"/>
          <w:sz w:val="24"/>
          <w:szCs w:val="24"/>
        </w:rPr>
        <w:t>; Centro Universitário Cenecista de Osório (UNICNEC), Osório, Rio Grande do Sul, Brasil.</w:t>
      </w:r>
    </w:p>
    <w:p w14:paraId="74B1CD89" w14:textId="35B7B1D1" w:rsidR="00F015AE" w:rsidRPr="006F4C57" w:rsidRDefault="00AF6F67" w:rsidP="00AF6F67">
      <w:pPr>
        <w:spacing w:line="360" w:lineRule="auto"/>
        <w:jc w:val="center"/>
        <w:rPr>
          <w:rFonts w:ascii="Times New Roman" w:eastAsia="Times New Roman" w:hAnsi="Times New Roman" w:cs="Times New Roman"/>
          <w:color w:val="000000"/>
          <w:sz w:val="24"/>
          <w:szCs w:val="24"/>
        </w:rPr>
      </w:pPr>
      <w:r w:rsidRPr="00752D4E">
        <w:rPr>
          <w:rFonts w:ascii="Times New Roman" w:eastAsia="Times New Roman" w:hAnsi="Times New Roman" w:cs="Times New Roman"/>
          <w:color w:val="000000"/>
          <w:sz w:val="24"/>
          <w:szCs w:val="24"/>
        </w:rPr>
        <w:t>*Autor Correspondente: Avenida Fernando Amaral, n</w:t>
      </w:r>
      <w:r w:rsidRPr="00752D4E">
        <w:rPr>
          <w:rFonts w:ascii="Times New Roman" w:eastAsia="Times New Roman" w:hAnsi="Times New Roman" w:cs="Times New Roman"/>
          <w:color w:val="000000"/>
          <w:sz w:val="24"/>
          <w:szCs w:val="24"/>
          <w:vertAlign w:val="superscript"/>
        </w:rPr>
        <w:t>o</w:t>
      </w:r>
      <w:r w:rsidRPr="00752D4E">
        <w:rPr>
          <w:rFonts w:ascii="Times New Roman" w:eastAsia="Times New Roman" w:hAnsi="Times New Roman" w:cs="Times New Roman"/>
          <w:color w:val="000000"/>
          <w:sz w:val="24"/>
          <w:szCs w:val="24"/>
        </w:rPr>
        <w:t xml:space="preserve"> 1000, Apt. 401, Bairro Centro, Tramandaí, Rio Grande do Sul, Brasil, CEP 95590-000; </w:t>
      </w:r>
      <w:hyperlink r:id="rId14">
        <w:r w:rsidRPr="00752D4E">
          <w:rPr>
            <w:rFonts w:ascii="Times New Roman" w:eastAsia="Times New Roman" w:hAnsi="Times New Roman" w:cs="Times New Roman"/>
            <w:color w:val="0000FF"/>
            <w:sz w:val="24"/>
            <w:szCs w:val="24"/>
            <w:u w:val="single"/>
          </w:rPr>
          <w:t>becker.roberta@gmail.com</w:t>
        </w:r>
      </w:hyperlink>
      <w:r w:rsidRPr="00752D4E">
        <w:rPr>
          <w:rFonts w:ascii="Times New Roman" w:eastAsia="Times New Roman" w:hAnsi="Times New Roman" w:cs="Times New Roman"/>
          <w:color w:val="000000"/>
          <w:sz w:val="24"/>
          <w:szCs w:val="24"/>
        </w:rPr>
        <w:t>.</w:t>
      </w:r>
    </w:p>
    <w:p w14:paraId="5D9797F4" w14:textId="6D0215FE" w:rsidR="00F015AE" w:rsidRDefault="00F015AE" w:rsidP="00F015AE">
      <w:pPr>
        <w:spacing w:before="200" w:after="200" w:line="360" w:lineRule="auto"/>
        <w:ind w:firstLine="709"/>
        <w:jc w:val="both"/>
        <w:rPr>
          <w:rFonts w:ascii="Times New Roman" w:hAnsi="Times New Roman" w:cs="Times New Roman"/>
          <w:bCs/>
          <w:sz w:val="24"/>
          <w:szCs w:val="24"/>
        </w:rPr>
      </w:pPr>
      <w:r w:rsidRPr="006F4C57">
        <w:rPr>
          <w:rFonts w:ascii="Times New Roman" w:hAnsi="Times New Roman" w:cs="Times New Roman"/>
          <w:bCs/>
          <w:sz w:val="24"/>
          <w:szCs w:val="24"/>
        </w:rPr>
        <w:t xml:space="preserve">Agradecemos à Secretaria de Saúde e Epidemiologia de Osório, em especial à Vigilância Epidemiológica (VEO) e ao Serviço de Atendimento Especializado (SAE), pelo inestimável apoio. O acesso aos dados e a colaboração de suas equipes foram fundamentais para a realização deste estudo e para o fortalecimento da pesquisa em saúde pública no município. </w:t>
      </w:r>
    </w:p>
    <w:p w14:paraId="28C24AD5" w14:textId="77777777" w:rsidR="00C8554B" w:rsidRPr="006F4C57" w:rsidRDefault="00C8554B" w:rsidP="00F015AE">
      <w:pPr>
        <w:spacing w:before="200" w:after="200" w:line="360" w:lineRule="auto"/>
        <w:ind w:firstLine="709"/>
        <w:jc w:val="both"/>
        <w:rPr>
          <w:rFonts w:ascii="Times New Roman" w:hAnsi="Times New Roman" w:cs="Times New Roman"/>
          <w:bCs/>
          <w:sz w:val="24"/>
          <w:szCs w:val="24"/>
        </w:rPr>
      </w:pPr>
    </w:p>
    <w:p w14:paraId="366CA2BF" w14:textId="06C0C67E" w:rsidR="00255FD4" w:rsidRPr="006F4C57" w:rsidRDefault="0075424F" w:rsidP="006F4C57">
      <w:pPr>
        <w:spacing w:line="240" w:lineRule="auto"/>
        <w:jc w:val="both"/>
        <w:rPr>
          <w:rFonts w:ascii="Times New Roman" w:hAnsi="Times New Roman" w:cs="Times New Roman"/>
          <w:bCs/>
          <w:sz w:val="24"/>
          <w:szCs w:val="24"/>
        </w:rPr>
      </w:pPr>
      <w:r w:rsidRPr="006F4C57">
        <w:rPr>
          <w:rFonts w:ascii="Times New Roman" w:hAnsi="Times New Roman" w:cs="Times New Roman"/>
          <w:b/>
          <w:bCs/>
          <w:sz w:val="24"/>
          <w:szCs w:val="24"/>
        </w:rPr>
        <w:t>Resumo</w:t>
      </w:r>
      <w:r w:rsidR="00256DDA" w:rsidRPr="006F4C57">
        <w:rPr>
          <w:rFonts w:ascii="Times New Roman" w:hAnsi="Times New Roman" w:cs="Times New Roman"/>
          <w:b/>
          <w:bCs/>
          <w:sz w:val="24"/>
          <w:szCs w:val="24"/>
        </w:rPr>
        <w:t>:</w:t>
      </w:r>
      <w:r w:rsidR="00256DDA" w:rsidRPr="006F4C57">
        <w:rPr>
          <w:rFonts w:ascii="Times New Roman" w:hAnsi="Times New Roman" w:cs="Times New Roman"/>
          <w:bCs/>
          <w:sz w:val="24"/>
          <w:szCs w:val="24"/>
        </w:rPr>
        <w:t xml:space="preserve"> </w:t>
      </w:r>
      <w:r w:rsidR="00255FD4" w:rsidRPr="006F4C57">
        <w:rPr>
          <w:rFonts w:ascii="Times New Roman" w:hAnsi="Times New Roman" w:cs="Times New Roman"/>
          <w:bCs/>
          <w:sz w:val="24"/>
          <w:szCs w:val="24"/>
        </w:rPr>
        <w:t xml:space="preserve">As hepatites virais, especialmente as causadas pelos vírus da hepatite B (HBV) e C (HCV), constituem um grave problema de saúde pública, sendo uma das principais </w:t>
      </w:r>
      <w:r w:rsidR="00255FD4" w:rsidRPr="006F4C57">
        <w:rPr>
          <w:rFonts w:ascii="Times New Roman" w:hAnsi="Times New Roman" w:cs="Times New Roman"/>
          <w:bCs/>
          <w:sz w:val="24"/>
          <w:szCs w:val="24"/>
        </w:rPr>
        <w:lastRenderedPageBreak/>
        <w:t>causas de inflamação hepática, morbidade e mortalidade. No Brasil, a distribuição destas infeções é heterogênea, com a região Sul a destacar-se pelas elevadas taxas de notificação. Nesse contexto, este trabalho teve como objetivo avaliar o perfil epidemiológico das hepatites B (HB) e C (HC) no município de Osório entre 2003 e 2023. Para isso, realizou-se um estudo ecológico com base em 210 fichas de notificação de casos de HB e HC. Foram analisadas variáveis sociodemográficas, coinfecções, situação vacinal e genótipo do HCV, utilizando-se análise descritiva e teste do Qui-quadrado (P≤0</w:t>
      </w:r>
      <w:r w:rsidR="00C8554B">
        <w:rPr>
          <w:rFonts w:ascii="Times New Roman" w:hAnsi="Times New Roman" w:cs="Times New Roman"/>
          <w:bCs/>
          <w:sz w:val="24"/>
          <w:szCs w:val="24"/>
        </w:rPr>
        <w:t>.</w:t>
      </w:r>
      <w:r w:rsidR="00255FD4" w:rsidRPr="006F4C57">
        <w:rPr>
          <w:rFonts w:ascii="Times New Roman" w:hAnsi="Times New Roman" w:cs="Times New Roman"/>
          <w:bCs/>
          <w:sz w:val="24"/>
          <w:szCs w:val="24"/>
        </w:rPr>
        <w:t>05). Dos 210 casos, 133 (63.3%) eram de HC e 71 (36.7%) de HB. Predominaram o sexo masculino (53.8%) e a faixa etária dos 40 aos 49 anos (33.9%). O ensino fundamental foi a escolaridade mais frequente (39.1%), porém com uma alta taxa de dados não preenchidos (45.2%). A cobertura vacinal completa para HB foi baixa (13.1%). Observou-se uma elevada cronificação (HC: 54.8%; HB: 27.8%) e coinfecção com o vírus da imunodeficiência humana (HIV; HC: 11.5%; HB: 6.9%). O genótipo 3 do HCV foi o mais comum (34</w:t>
      </w:r>
      <w:r w:rsidR="00C8554B">
        <w:rPr>
          <w:rFonts w:ascii="Times New Roman" w:hAnsi="Times New Roman" w:cs="Times New Roman"/>
          <w:bCs/>
          <w:sz w:val="24"/>
          <w:szCs w:val="24"/>
        </w:rPr>
        <w:t>.</w:t>
      </w:r>
      <w:r w:rsidR="00255FD4" w:rsidRPr="006F4C57">
        <w:rPr>
          <w:rFonts w:ascii="Times New Roman" w:hAnsi="Times New Roman" w:cs="Times New Roman"/>
          <w:bCs/>
          <w:sz w:val="24"/>
          <w:szCs w:val="24"/>
        </w:rPr>
        <w:t>6%), associando-se a maiores taxas de cura. A HC também esteve associada a 83.9% dos 56 óbitos registados. O pico de incidência da HB ocorreu em 2023 (16</w:t>
      </w:r>
      <w:r w:rsidR="004F0A21">
        <w:rPr>
          <w:rFonts w:ascii="Times New Roman" w:hAnsi="Times New Roman" w:cs="Times New Roman"/>
          <w:bCs/>
          <w:sz w:val="24"/>
          <w:szCs w:val="24"/>
        </w:rPr>
        <w:t>,</w:t>
      </w:r>
      <w:r w:rsidR="00255FD4" w:rsidRPr="006F4C57">
        <w:rPr>
          <w:rFonts w:ascii="Times New Roman" w:hAnsi="Times New Roman" w:cs="Times New Roman"/>
          <w:bCs/>
          <w:sz w:val="24"/>
          <w:szCs w:val="24"/>
        </w:rPr>
        <w:t>52/100 mil habitantes) e o do HCV em 2011 (28</w:t>
      </w:r>
      <w:r w:rsidR="004F0A21">
        <w:rPr>
          <w:rFonts w:ascii="Times New Roman" w:hAnsi="Times New Roman" w:cs="Times New Roman"/>
          <w:bCs/>
          <w:sz w:val="24"/>
          <w:szCs w:val="24"/>
        </w:rPr>
        <w:t>,</w:t>
      </w:r>
      <w:r w:rsidR="00255FD4" w:rsidRPr="006F4C57">
        <w:rPr>
          <w:rFonts w:ascii="Times New Roman" w:hAnsi="Times New Roman" w:cs="Times New Roman"/>
          <w:bCs/>
          <w:sz w:val="24"/>
          <w:szCs w:val="24"/>
        </w:rPr>
        <w:t>94/100 mil habitantes). Observou-se que Osório apresenta um elevado cenário de hepatites virais crónicas, com predomínio da HC. Destacam-se como desafios a baixa cobertura vacinal para HB e a alta incompletude no preenchimento dos dados. Estes resultados reforçam a necessidade de fortalecer as estratégias de prevenção, diagnóstico precoce e qualificação da vigilância epidemiológica para reduzir a morbimortalidade por hepatites virais no município.</w:t>
      </w:r>
    </w:p>
    <w:p w14:paraId="75188ED9" w14:textId="704D82DA" w:rsidR="00F71F7C" w:rsidRDefault="00F71F7C" w:rsidP="006F4C57">
      <w:pPr>
        <w:spacing w:line="360" w:lineRule="auto"/>
        <w:jc w:val="both"/>
        <w:rPr>
          <w:rFonts w:ascii="Times New Roman" w:hAnsi="Times New Roman" w:cs="Times New Roman"/>
          <w:bCs/>
          <w:sz w:val="24"/>
          <w:szCs w:val="24"/>
        </w:rPr>
      </w:pPr>
      <w:r w:rsidRPr="006F4C57">
        <w:rPr>
          <w:rFonts w:ascii="Times New Roman" w:hAnsi="Times New Roman" w:cs="Times New Roman"/>
          <w:b/>
          <w:bCs/>
          <w:sz w:val="24"/>
          <w:szCs w:val="24"/>
        </w:rPr>
        <w:t>Palavras-chave:</w:t>
      </w:r>
      <w:r w:rsidRPr="006F4C57">
        <w:rPr>
          <w:rFonts w:ascii="Times New Roman" w:hAnsi="Times New Roman" w:cs="Times New Roman"/>
          <w:bCs/>
          <w:sz w:val="24"/>
          <w:szCs w:val="24"/>
        </w:rPr>
        <w:t xml:space="preserve"> </w:t>
      </w:r>
      <w:r w:rsidR="00676EF1" w:rsidRPr="006F4C57">
        <w:rPr>
          <w:rFonts w:ascii="Times New Roman" w:hAnsi="Times New Roman" w:cs="Times New Roman"/>
          <w:bCs/>
          <w:sz w:val="24"/>
          <w:szCs w:val="24"/>
        </w:rPr>
        <w:t xml:space="preserve">Hepatite B; Hepatite C; Doenças Crônicas; Vigilância </w:t>
      </w:r>
      <w:r w:rsidR="00255FD4" w:rsidRPr="006F4C57">
        <w:rPr>
          <w:rFonts w:ascii="Times New Roman" w:hAnsi="Times New Roman" w:cs="Times New Roman"/>
          <w:bCs/>
          <w:sz w:val="24"/>
          <w:szCs w:val="24"/>
        </w:rPr>
        <w:t>Epidemiológica.</w:t>
      </w:r>
    </w:p>
    <w:p w14:paraId="79898975" w14:textId="77777777" w:rsidR="00C8554B" w:rsidRPr="006F4C57" w:rsidRDefault="00C8554B" w:rsidP="006F4C57">
      <w:pPr>
        <w:spacing w:line="360" w:lineRule="auto"/>
        <w:jc w:val="both"/>
        <w:rPr>
          <w:rFonts w:ascii="Times New Roman" w:hAnsi="Times New Roman" w:cs="Times New Roman"/>
          <w:bCs/>
          <w:sz w:val="24"/>
          <w:szCs w:val="24"/>
        </w:rPr>
      </w:pPr>
    </w:p>
    <w:p w14:paraId="00915EA1" w14:textId="0FEED5F9" w:rsidR="00F71F7C" w:rsidRPr="006F4C57" w:rsidRDefault="00256DDA" w:rsidP="006F4C57">
      <w:pPr>
        <w:spacing w:line="240" w:lineRule="auto"/>
        <w:jc w:val="both"/>
        <w:rPr>
          <w:rFonts w:ascii="Times New Roman" w:hAnsi="Times New Roman" w:cs="Times New Roman"/>
          <w:sz w:val="24"/>
          <w:szCs w:val="24"/>
        </w:rPr>
      </w:pPr>
      <w:r w:rsidRPr="006F4C57">
        <w:rPr>
          <w:rFonts w:ascii="Times New Roman" w:hAnsi="Times New Roman" w:cs="Times New Roman"/>
          <w:b/>
          <w:bCs/>
          <w:sz w:val="24"/>
          <w:szCs w:val="24"/>
        </w:rPr>
        <w:t>Abstract:</w:t>
      </w:r>
      <w:r w:rsidRPr="006F4C57">
        <w:rPr>
          <w:rFonts w:ascii="Times New Roman" w:hAnsi="Times New Roman" w:cs="Times New Roman"/>
          <w:sz w:val="24"/>
          <w:szCs w:val="24"/>
        </w:rPr>
        <w:t xml:space="preserve"> </w:t>
      </w:r>
      <w:r w:rsidR="00FD1B50" w:rsidRPr="006F4C57">
        <w:rPr>
          <w:rFonts w:ascii="Times New Roman" w:hAnsi="Times New Roman" w:cs="Times New Roman"/>
          <w:sz w:val="24"/>
          <w:szCs w:val="24"/>
        </w:rPr>
        <w:t>Viral hepatitis, especially those caused by the hepatitis B (HBV) and C (HCV) viruses, constitute a severe public health problem, being one of the leading causes of liver inflammation, morbidity, and mortality. In Brazil, the distribution of these infections is heterogeneous, with the South region standing out for its high notification rates. In this context, this study aimed to evaluate the epidemiological profile of hepatitis B (HB) and C (HC) in the municipality of Osório between 2003 and 2023. To this end, an ecological study was conducted based on 210 notification forms for HB and HC cases. Sociodemographic variables, coinfections, vaccination status, and HCV genotype were analyzed using descriptive analysis and the Chi-square test (P≤0.05). Of the 210 cases, 133 (63.3%) were HC and 71 (36.7%) were HB. Males (53.8%) and the 40 to 49 age group (33.9%) predominated. Elementary education was the most frequent schooling level (39.1%), but with a high rate of missing data (45.2%). Complete vaccination coverage for HB was low (13.1%). A high chronicity rate was observed (HC: 54.8%; HB: 27.8%), as well as coinfection with the human immunodeficiency virus (HIV; HC: 11.5%; HB: 6.9%). HCV genotype 3 was the most common (34.6%), being associated with higher cure rates. HC was also associated with 83.9% of the 56 registered deaths. The peak incidence of HB occurred in 2023 (16.52/100,000 inhabitants) and that of HCV in 2011 (28.94/100,000 inhabitants). It was observed that Osório presents a concerning scenario of chronic viral hepatitis, with a predominance of HC. The low vaccination coverage for HB and the high incompleteness of data stand out as challenges. These results reinforce the need to strengthen prevention strategies, early diagnosis, and the qualification of epidemiological surveillance to reduce morbidity and mortality from viral hepatitis in the municipality.</w:t>
      </w:r>
    </w:p>
    <w:p w14:paraId="63E7E582" w14:textId="5368AD6D" w:rsidR="00F71F7C" w:rsidRPr="006F4C57" w:rsidRDefault="00F71F7C" w:rsidP="00F71F7C">
      <w:pPr>
        <w:spacing w:line="360" w:lineRule="auto"/>
        <w:jc w:val="both"/>
        <w:rPr>
          <w:rFonts w:ascii="Times New Roman" w:hAnsi="Times New Roman" w:cs="Times New Roman"/>
          <w:sz w:val="24"/>
          <w:szCs w:val="24"/>
        </w:rPr>
      </w:pPr>
      <w:r w:rsidRPr="006F4C57">
        <w:rPr>
          <w:rFonts w:ascii="Times New Roman" w:hAnsi="Times New Roman" w:cs="Times New Roman"/>
          <w:b/>
          <w:bCs/>
          <w:sz w:val="24"/>
          <w:szCs w:val="24"/>
        </w:rPr>
        <w:t>Key Words:</w:t>
      </w:r>
      <w:r w:rsidRPr="006F4C57">
        <w:rPr>
          <w:rFonts w:ascii="Times New Roman" w:hAnsi="Times New Roman" w:cs="Times New Roman"/>
          <w:sz w:val="24"/>
          <w:szCs w:val="24"/>
        </w:rPr>
        <w:t xml:space="preserve"> </w:t>
      </w:r>
      <w:r w:rsidR="00FD1B50" w:rsidRPr="006F4C57">
        <w:rPr>
          <w:rFonts w:ascii="Times New Roman" w:hAnsi="Times New Roman" w:cs="Times New Roman"/>
          <w:sz w:val="24"/>
          <w:szCs w:val="24"/>
        </w:rPr>
        <w:t>Hepatitis B; Hepatitis C; Chronic Diseases; Epidemiological Surveillance.</w:t>
      </w:r>
    </w:p>
    <w:p w14:paraId="3535CD5E" w14:textId="0B5FA17E" w:rsidR="00D51045" w:rsidRDefault="00BA52B6" w:rsidP="00D51045">
      <w:pPr>
        <w:pStyle w:val="Ttulo1"/>
        <w:numPr>
          <w:ilvl w:val="0"/>
          <w:numId w:val="1"/>
        </w:numPr>
        <w:spacing w:line="360" w:lineRule="auto"/>
        <w:jc w:val="both"/>
        <w:rPr>
          <w:rFonts w:ascii="Times New Roman" w:eastAsia="Times New Roman" w:hAnsi="Times New Roman" w:cs="Times New Roman"/>
          <w:b/>
          <w:sz w:val="24"/>
          <w:szCs w:val="24"/>
        </w:rPr>
      </w:pPr>
      <w:bookmarkStart w:id="0" w:name="_Toc202181758"/>
      <w:bookmarkStart w:id="1" w:name="_Toc214644169"/>
      <w:r w:rsidRPr="00256DDA">
        <w:rPr>
          <w:rFonts w:ascii="Times New Roman" w:eastAsia="Times New Roman" w:hAnsi="Times New Roman" w:cs="Times New Roman"/>
          <w:b/>
          <w:sz w:val="24"/>
          <w:szCs w:val="24"/>
        </w:rPr>
        <w:lastRenderedPageBreak/>
        <w:t>INTRODUÇÃO</w:t>
      </w:r>
      <w:bookmarkEnd w:id="0"/>
      <w:bookmarkEnd w:id="1"/>
    </w:p>
    <w:p w14:paraId="2AC73F7E" w14:textId="34362159" w:rsidR="00200051" w:rsidRDefault="006F4C57" w:rsidP="00950A70">
      <w:pPr>
        <w:spacing w:before="200" w:after="200" w:line="360" w:lineRule="auto"/>
        <w:ind w:firstLine="709"/>
        <w:jc w:val="both"/>
        <w:rPr>
          <w:rFonts w:ascii="Times New Roman" w:hAnsi="Times New Roman" w:cs="Times New Roman"/>
          <w:bCs/>
          <w:sz w:val="24"/>
          <w:szCs w:val="24"/>
        </w:rPr>
      </w:pPr>
      <w:r w:rsidRPr="00950A70">
        <w:rPr>
          <w:rFonts w:ascii="Times New Roman" w:hAnsi="Times New Roman" w:cs="Times New Roman"/>
          <w:bCs/>
          <w:sz w:val="24"/>
          <w:szCs w:val="24"/>
        </w:rPr>
        <w:t>Em escala global, as hepatites virais, especialmente as causadas pelos vírus das hepatites B (HBV) e C (HCV), constituem um sério problema de saúde pública, sendo uma das principais causas de inflamação hepática e uma das maiores causas de morte e morbidade relacionadas ao fígado em todo o mundo</w:t>
      </w:r>
      <w:r w:rsidRPr="00200051">
        <w:rPr>
          <w:rFonts w:ascii="Times New Roman" w:hAnsi="Times New Roman" w:cs="Times New Roman"/>
          <w:bCs/>
          <w:sz w:val="24"/>
          <w:szCs w:val="24"/>
          <w:vertAlign w:val="superscript"/>
        </w:rPr>
        <w:t>1-3</w:t>
      </w:r>
      <w:r w:rsidRPr="00950A70">
        <w:rPr>
          <w:rFonts w:ascii="Times New Roman" w:hAnsi="Times New Roman" w:cs="Times New Roman"/>
          <w:bCs/>
          <w:sz w:val="24"/>
          <w:szCs w:val="24"/>
        </w:rPr>
        <w:t xml:space="preserve">. Estima-se que, em 2019, aproximadamente 296 milhões de pessoas viviam com infecção crônica por HBV, enquanto em 2020, cerca de 56,8 milhões de pessoas estavam cronicamente infectadas pelo HCV </w:t>
      </w:r>
      <w:r w:rsidRPr="00200051">
        <w:rPr>
          <w:rFonts w:ascii="Times New Roman" w:hAnsi="Times New Roman" w:cs="Times New Roman"/>
          <w:bCs/>
          <w:sz w:val="24"/>
          <w:szCs w:val="24"/>
          <w:vertAlign w:val="superscript"/>
        </w:rPr>
        <w:t>4-5</w:t>
      </w:r>
      <w:r w:rsidRPr="00950A70">
        <w:rPr>
          <w:rFonts w:ascii="Times New Roman" w:hAnsi="Times New Roman" w:cs="Times New Roman"/>
          <w:bCs/>
          <w:sz w:val="24"/>
          <w:szCs w:val="24"/>
        </w:rPr>
        <w:t xml:space="preserve">. Esses vírus hepatotrópicos infectam especificamente as células do fígado e a infecção crônica pode resultar em progressão para fibrose, cirrose e carcinoma hepatocelular (CHC), sendo a cirrose e o CHC as principais causas de óbitos associados à hepatite </w:t>
      </w:r>
      <w:r w:rsidRPr="00200051">
        <w:rPr>
          <w:rFonts w:ascii="Times New Roman" w:hAnsi="Times New Roman" w:cs="Times New Roman"/>
          <w:bCs/>
          <w:sz w:val="24"/>
          <w:szCs w:val="24"/>
          <w:vertAlign w:val="superscript"/>
        </w:rPr>
        <w:t>6-9</w:t>
      </w:r>
      <w:r w:rsidRPr="00950A70">
        <w:rPr>
          <w:rFonts w:ascii="Times New Roman" w:hAnsi="Times New Roman" w:cs="Times New Roman"/>
          <w:bCs/>
          <w:sz w:val="24"/>
          <w:szCs w:val="24"/>
        </w:rPr>
        <w:t xml:space="preserve">. </w:t>
      </w:r>
    </w:p>
    <w:p w14:paraId="5772D77B" w14:textId="77777777" w:rsidR="00200051" w:rsidRDefault="006F4C57" w:rsidP="00950A70">
      <w:pPr>
        <w:spacing w:before="200" w:after="200" w:line="360" w:lineRule="auto"/>
        <w:ind w:firstLine="709"/>
        <w:jc w:val="both"/>
        <w:rPr>
          <w:rFonts w:ascii="Times New Roman" w:hAnsi="Times New Roman" w:cs="Times New Roman"/>
          <w:bCs/>
          <w:sz w:val="24"/>
          <w:szCs w:val="24"/>
        </w:rPr>
      </w:pPr>
      <w:r w:rsidRPr="00950A70">
        <w:rPr>
          <w:rFonts w:ascii="Times New Roman" w:hAnsi="Times New Roman" w:cs="Times New Roman"/>
          <w:bCs/>
          <w:sz w:val="24"/>
          <w:szCs w:val="24"/>
        </w:rPr>
        <w:t>Conforme o Boletim Epidemiológico das Hepatites Virais, a distribuição dos casos de HBV e HCV no Brasil é heterogênea, com concentrações distintas em diferentes regiões. No período de 2000 a 2023, foram notificados 289.029 casos confirmados de hepatite B e 318.916 de hepatite C no país, representando 36.8% e 40.6% do total de casos de hepatites virais, respectivamente. A maioria dos casos de hepatite B no Brasil, entre 2000 e 2023, concentrou se na região Sudeste (34.1%), seguida pela região Sul (31.2%). A taxa de detecção nacional de hepatite B apresentou uma redução de 42.8% entre 2013 e 2023, passando de 8,3 para 4,7 casos por 100 mil habitantes. Em 2023, Porto Alegre, na região Sul, destacou-se entre as capitais com taxa de detecção de 16,4 casos por 100 mil habitantes, significativamente acima da média nacional. Enquanto isso, a hepatite C é predominantemente notificada no Sudeste (58.1%), e a região Sul concentra a segunda maior proporção, com 27.1% dos casos. Em 2023, a região Sul registrou a maior taxa de casos confirmados de hepatite C, com 15,2 casos por 100 mil habitantes, superando a taxa nacional e as demais regiões, sendo Porto Alegre a capital da região Sul com maior número de casos, 57,1 casos por 100 mil habitantes</w:t>
      </w:r>
      <w:r w:rsidRPr="00200051">
        <w:rPr>
          <w:rFonts w:ascii="Times New Roman" w:hAnsi="Times New Roman" w:cs="Times New Roman"/>
          <w:bCs/>
          <w:sz w:val="24"/>
          <w:szCs w:val="24"/>
          <w:vertAlign w:val="superscript"/>
        </w:rPr>
        <w:t>10</w:t>
      </w:r>
      <w:r w:rsidRPr="00950A70">
        <w:rPr>
          <w:rFonts w:ascii="Times New Roman" w:hAnsi="Times New Roman" w:cs="Times New Roman"/>
          <w:bCs/>
          <w:sz w:val="24"/>
          <w:szCs w:val="24"/>
        </w:rPr>
        <w:t xml:space="preserve">. </w:t>
      </w:r>
    </w:p>
    <w:p w14:paraId="4527BE43" w14:textId="06F305E7" w:rsidR="00B42434" w:rsidRDefault="006F4C57" w:rsidP="00950A70">
      <w:pPr>
        <w:spacing w:before="200" w:after="200" w:line="360" w:lineRule="auto"/>
        <w:ind w:firstLine="709"/>
        <w:jc w:val="both"/>
        <w:rPr>
          <w:rFonts w:ascii="Times New Roman" w:hAnsi="Times New Roman" w:cs="Times New Roman"/>
          <w:bCs/>
          <w:sz w:val="24"/>
          <w:szCs w:val="24"/>
        </w:rPr>
      </w:pPr>
      <w:r w:rsidRPr="00950A70">
        <w:rPr>
          <w:rFonts w:ascii="Times New Roman" w:hAnsi="Times New Roman" w:cs="Times New Roman"/>
          <w:bCs/>
          <w:sz w:val="24"/>
          <w:szCs w:val="24"/>
        </w:rPr>
        <w:t xml:space="preserve">O HBV é um vírus de ácido desoxirribonucleico (DNA) pertencente à família </w:t>
      </w:r>
      <w:r w:rsidRPr="00B42434">
        <w:rPr>
          <w:rFonts w:ascii="Times New Roman" w:hAnsi="Times New Roman" w:cs="Times New Roman"/>
          <w:bCs/>
          <w:i/>
          <w:iCs/>
          <w:sz w:val="24"/>
          <w:szCs w:val="24"/>
        </w:rPr>
        <w:t>Hepadnaviridae</w:t>
      </w:r>
      <w:r w:rsidRPr="00950A70">
        <w:rPr>
          <w:rFonts w:ascii="Times New Roman" w:hAnsi="Times New Roman" w:cs="Times New Roman"/>
          <w:bCs/>
          <w:sz w:val="24"/>
          <w:szCs w:val="24"/>
        </w:rPr>
        <w:t xml:space="preserve">, especificamente ao gênero </w:t>
      </w:r>
      <w:r w:rsidRPr="00B42434">
        <w:rPr>
          <w:rFonts w:ascii="Times New Roman" w:hAnsi="Times New Roman" w:cs="Times New Roman"/>
          <w:bCs/>
          <w:i/>
          <w:iCs/>
          <w:sz w:val="24"/>
          <w:szCs w:val="24"/>
        </w:rPr>
        <w:t>Orthohepadnavirus</w:t>
      </w:r>
      <w:r w:rsidRPr="00B42434">
        <w:rPr>
          <w:rFonts w:ascii="Times New Roman" w:hAnsi="Times New Roman" w:cs="Times New Roman"/>
          <w:bCs/>
          <w:sz w:val="24"/>
          <w:szCs w:val="24"/>
          <w:vertAlign w:val="superscript"/>
        </w:rPr>
        <w:t>11</w:t>
      </w:r>
      <w:r w:rsidRPr="00950A70">
        <w:rPr>
          <w:rFonts w:ascii="Times New Roman" w:hAnsi="Times New Roman" w:cs="Times New Roman"/>
          <w:bCs/>
          <w:sz w:val="24"/>
          <w:szCs w:val="24"/>
        </w:rPr>
        <w:t xml:space="preserve">. Este vírus se disseminou globalmente, provavelmente a partir da África, e divergiu em dez genótipos (HBV-A </w:t>
      </w:r>
      <w:r w:rsidR="00B42434">
        <w:rPr>
          <w:rFonts w:ascii="Times New Roman" w:hAnsi="Times New Roman" w:cs="Times New Roman"/>
          <w:bCs/>
          <w:sz w:val="24"/>
          <w:szCs w:val="24"/>
        </w:rPr>
        <w:t>à</w:t>
      </w:r>
      <w:r w:rsidRPr="00950A70">
        <w:rPr>
          <w:rFonts w:ascii="Times New Roman" w:hAnsi="Times New Roman" w:cs="Times New Roman"/>
          <w:bCs/>
          <w:sz w:val="24"/>
          <w:szCs w:val="24"/>
        </w:rPr>
        <w:t xml:space="preserve"> HBV J), com quase todos eles já reportados no Brasil, predominando os genótipos A, D e F</w:t>
      </w:r>
      <w:r w:rsidRPr="00B42434">
        <w:rPr>
          <w:rFonts w:ascii="Times New Roman" w:hAnsi="Times New Roman" w:cs="Times New Roman"/>
          <w:bCs/>
          <w:sz w:val="24"/>
          <w:szCs w:val="24"/>
          <w:vertAlign w:val="superscript"/>
        </w:rPr>
        <w:t>12-13</w:t>
      </w:r>
      <w:r w:rsidRPr="00950A70">
        <w:rPr>
          <w:rFonts w:ascii="Times New Roman" w:hAnsi="Times New Roman" w:cs="Times New Roman"/>
          <w:bCs/>
          <w:sz w:val="24"/>
          <w:szCs w:val="24"/>
        </w:rPr>
        <w:t xml:space="preserve">. A transmissão do HBV ocorre principalmente por exposição a </w:t>
      </w:r>
      <w:r w:rsidRPr="00950A70">
        <w:rPr>
          <w:rFonts w:ascii="Times New Roman" w:hAnsi="Times New Roman" w:cs="Times New Roman"/>
          <w:bCs/>
          <w:sz w:val="24"/>
          <w:szCs w:val="24"/>
        </w:rPr>
        <w:lastRenderedPageBreak/>
        <w:t>sangue ou fluidos corporais infectados, sendo as vias mais comuns o uso de drogas intravenosas, o contato sexual e a transmissão vertical de mãe para filho</w:t>
      </w:r>
      <w:r w:rsidRPr="00B42434">
        <w:rPr>
          <w:rFonts w:ascii="Times New Roman" w:hAnsi="Times New Roman" w:cs="Times New Roman"/>
          <w:bCs/>
          <w:sz w:val="24"/>
          <w:szCs w:val="24"/>
          <w:vertAlign w:val="superscript"/>
        </w:rPr>
        <w:t>14</w:t>
      </w:r>
      <w:r w:rsidRPr="00950A70">
        <w:rPr>
          <w:rFonts w:ascii="Times New Roman" w:hAnsi="Times New Roman" w:cs="Times New Roman"/>
          <w:bCs/>
          <w:sz w:val="24"/>
          <w:szCs w:val="24"/>
        </w:rPr>
        <w:t>. Estudos demonstram que a idade no momento da infecção é um fator crucial para a cronificação da doença, visto que a vasta maioria dos pacientes infectados perinatalmente desenvolve hepatite B crônica, enquanto a maioria dos adultos infectados consegue eliminar o vírus</w:t>
      </w:r>
      <w:r w:rsidRPr="00B42434">
        <w:rPr>
          <w:rFonts w:ascii="Times New Roman" w:hAnsi="Times New Roman" w:cs="Times New Roman"/>
          <w:bCs/>
          <w:sz w:val="24"/>
          <w:szCs w:val="24"/>
          <w:vertAlign w:val="superscript"/>
        </w:rPr>
        <w:t>15</w:t>
      </w:r>
      <w:r w:rsidR="00B42434">
        <w:rPr>
          <w:rFonts w:ascii="Times New Roman" w:hAnsi="Times New Roman" w:cs="Times New Roman"/>
          <w:bCs/>
          <w:sz w:val="24"/>
          <w:szCs w:val="24"/>
          <w:vertAlign w:val="superscript"/>
        </w:rPr>
        <w:t>-</w:t>
      </w:r>
      <w:r w:rsidRPr="00B42434">
        <w:rPr>
          <w:rFonts w:ascii="Times New Roman" w:hAnsi="Times New Roman" w:cs="Times New Roman"/>
          <w:bCs/>
          <w:sz w:val="24"/>
          <w:szCs w:val="24"/>
          <w:vertAlign w:val="superscript"/>
        </w:rPr>
        <w:t>16</w:t>
      </w:r>
      <w:r w:rsidRPr="00950A70">
        <w:rPr>
          <w:rFonts w:ascii="Times New Roman" w:hAnsi="Times New Roman" w:cs="Times New Roman"/>
          <w:bCs/>
          <w:sz w:val="24"/>
          <w:szCs w:val="24"/>
        </w:rPr>
        <w:t>. Em 2016, a vacinação contra hepatite B no Brasil tornou-se universal, sendo oferecida forma gratuita a todos os indivíduos pelo Sistema Único de Saúde (SUS)</w:t>
      </w:r>
      <w:r w:rsidRPr="00B42434">
        <w:rPr>
          <w:rFonts w:ascii="Times New Roman" w:hAnsi="Times New Roman" w:cs="Times New Roman"/>
          <w:bCs/>
          <w:sz w:val="24"/>
          <w:szCs w:val="24"/>
          <w:vertAlign w:val="superscript"/>
        </w:rPr>
        <w:t>17</w:t>
      </w:r>
      <w:r w:rsidRPr="00950A70">
        <w:rPr>
          <w:rFonts w:ascii="Times New Roman" w:hAnsi="Times New Roman" w:cs="Times New Roman"/>
          <w:bCs/>
          <w:sz w:val="24"/>
          <w:szCs w:val="24"/>
        </w:rPr>
        <w:t>. Atualmente, as gestantes são vacinadas durante o pré-natal ou no parto, e os neonatos expostos ao HBV ao nascer devem receber imunoglobulina B e uma dose monovalente da vacina nas primeiras 12 horas, seguida da série completa de três doses</w:t>
      </w:r>
      <w:r w:rsidRPr="00B42434">
        <w:rPr>
          <w:rFonts w:ascii="Times New Roman" w:hAnsi="Times New Roman" w:cs="Times New Roman"/>
          <w:bCs/>
          <w:sz w:val="24"/>
          <w:szCs w:val="24"/>
          <w:vertAlign w:val="superscript"/>
        </w:rPr>
        <w:t>17-19</w:t>
      </w:r>
      <w:r w:rsidRPr="00950A70">
        <w:rPr>
          <w:rFonts w:ascii="Times New Roman" w:hAnsi="Times New Roman" w:cs="Times New Roman"/>
          <w:bCs/>
          <w:sz w:val="24"/>
          <w:szCs w:val="24"/>
        </w:rPr>
        <w:t>. Essas políticas de vacinação têm contribuído para uma redução da prevalência de HBV "ativo" na população, sugerindo um impacto positivo significativo, com uma redução na incidência de infecções entre indivíduos mais jovens e nos casos agudos. No entanto, desafios persistem, pois, a cobertura vacinal total ainda não foi alcançada, e novas infecções continuam a ocorrer, especialmente em populações de alto risco, como população privada de liberdade e trabalhadores do sexo</w:t>
      </w:r>
      <w:r w:rsidRPr="00B42434">
        <w:rPr>
          <w:rFonts w:ascii="Times New Roman" w:hAnsi="Times New Roman" w:cs="Times New Roman"/>
          <w:bCs/>
          <w:sz w:val="24"/>
          <w:szCs w:val="24"/>
          <w:vertAlign w:val="superscript"/>
        </w:rPr>
        <w:t>20-22</w:t>
      </w:r>
      <w:r w:rsidRPr="00950A70">
        <w:rPr>
          <w:rFonts w:ascii="Times New Roman" w:hAnsi="Times New Roman" w:cs="Times New Roman"/>
          <w:bCs/>
          <w:sz w:val="24"/>
          <w:szCs w:val="24"/>
        </w:rPr>
        <w:t xml:space="preserve">. </w:t>
      </w:r>
    </w:p>
    <w:p w14:paraId="559DC98D" w14:textId="059CE717" w:rsidR="006F4C57" w:rsidRDefault="006F4C57" w:rsidP="00950A70">
      <w:pPr>
        <w:spacing w:before="200" w:after="200" w:line="360" w:lineRule="auto"/>
        <w:ind w:firstLine="709"/>
        <w:jc w:val="both"/>
        <w:rPr>
          <w:rFonts w:ascii="Times New Roman" w:hAnsi="Times New Roman" w:cs="Times New Roman"/>
          <w:bCs/>
          <w:sz w:val="24"/>
          <w:szCs w:val="24"/>
        </w:rPr>
      </w:pPr>
      <w:r w:rsidRPr="00950A70">
        <w:rPr>
          <w:rFonts w:ascii="Times New Roman" w:hAnsi="Times New Roman" w:cs="Times New Roman"/>
          <w:bCs/>
          <w:sz w:val="24"/>
          <w:szCs w:val="24"/>
        </w:rPr>
        <w:t xml:space="preserve">O HCV é um vírus de ácido ribonucleico (RNA), pertencente à família </w:t>
      </w:r>
      <w:r w:rsidRPr="00B42434">
        <w:rPr>
          <w:rFonts w:ascii="Times New Roman" w:hAnsi="Times New Roman" w:cs="Times New Roman"/>
          <w:bCs/>
          <w:i/>
          <w:iCs/>
          <w:sz w:val="24"/>
          <w:szCs w:val="24"/>
        </w:rPr>
        <w:t>Flaviviridae</w:t>
      </w:r>
      <w:r w:rsidRPr="00950A70">
        <w:rPr>
          <w:rFonts w:ascii="Times New Roman" w:hAnsi="Times New Roman" w:cs="Times New Roman"/>
          <w:bCs/>
          <w:sz w:val="24"/>
          <w:szCs w:val="24"/>
        </w:rPr>
        <w:t xml:space="preserve">, especificamente ao gênero </w:t>
      </w:r>
      <w:r w:rsidRPr="00B42434">
        <w:rPr>
          <w:rFonts w:ascii="Times New Roman" w:hAnsi="Times New Roman" w:cs="Times New Roman"/>
          <w:bCs/>
          <w:i/>
          <w:iCs/>
          <w:sz w:val="24"/>
          <w:szCs w:val="24"/>
        </w:rPr>
        <w:t>Hepacivirus</w:t>
      </w:r>
      <w:r w:rsidRPr="00B42434">
        <w:rPr>
          <w:rFonts w:ascii="Times New Roman" w:hAnsi="Times New Roman" w:cs="Times New Roman"/>
          <w:bCs/>
          <w:sz w:val="24"/>
          <w:szCs w:val="24"/>
          <w:vertAlign w:val="superscript"/>
        </w:rPr>
        <w:t>11</w:t>
      </w:r>
      <w:r w:rsidRPr="00950A70">
        <w:rPr>
          <w:rFonts w:ascii="Times New Roman" w:hAnsi="Times New Roman" w:cs="Times New Roman"/>
          <w:bCs/>
          <w:sz w:val="24"/>
          <w:szCs w:val="24"/>
        </w:rPr>
        <w:t>. Sua transmissão ocorre predominantemente por exposição parenteral a sangue contaminado, sendo as principais vias de infecção o uso de drogas injetáveis e a realização de transfusões de sangue antes da implementação obrigatória da triagem sorológica nos bancos de sangue no Brasil, o que passou a ser exigido a partir de 1999. Historicamente, as taxas de transmissão sexual e vertical do HCV eram consideradas baixas. Contudo, estudos recentes indicam um risco aumentado entre indivíduos com múltiplos parceiros sexuais e aqueles com coinfecção por outras infecções sexualmente transmissíveis (ISTs), particularmente as infecções pelo vírus da imunodeficiência humana (HIV)</w:t>
      </w:r>
      <w:r w:rsidRPr="00B42434">
        <w:rPr>
          <w:rFonts w:ascii="Times New Roman" w:hAnsi="Times New Roman" w:cs="Times New Roman"/>
          <w:bCs/>
          <w:sz w:val="24"/>
          <w:szCs w:val="24"/>
          <w:vertAlign w:val="superscript"/>
        </w:rPr>
        <w:t>23-25</w:t>
      </w:r>
      <w:r w:rsidRPr="00950A70">
        <w:rPr>
          <w:rFonts w:ascii="Times New Roman" w:hAnsi="Times New Roman" w:cs="Times New Roman"/>
          <w:bCs/>
          <w:sz w:val="24"/>
          <w:szCs w:val="24"/>
        </w:rPr>
        <w:t xml:space="preserve">. Apesar da inexistência de uma vacina eficaz contra o HCV, a introdução dos antivirais de ação direta no Brasil, a partir de 2014, representou um avanço significativo no manejo clínico da infecção, com taxas de cura superiores a 97% após ciclos terapêuticos de 8 a 12 semanas. Entretanto, desafios importantes persistem, tais como a subnotificação e o subdiagnóstico de casos, o risco de reinfecção em populações vulneráveis, e a necessidade de fortalecer as estratégias de prevenção e diagnóstico precoce em grupos prioritários, como pessoas vivendo com HIV </w:t>
      </w:r>
      <w:r w:rsidRPr="00B42434">
        <w:rPr>
          <w:rFonts w:ascii="Times New Roman" w:hAnsi="Times New Roman" w:cs="Times New Roman"/>
          <w:bCs/>
          <w:sz w:val="24"/>
          <w:szCs w:val="24"/>
          <w:vertAlign w:val="superscript"/>
        </w:rPr>
        <w:lastRenderedPageBreak/>
        <w:t>26-27</w:t>
      </w:r>
      <w:r w:rsidRPr="00950A70">
        <w:rPr>
          <w:rFonts w:ascii="Times New Roman" w:hAnsi="Times New Roman" w:cs="Times New Roman"/>
          <w:bCs/>
          <w:sz w:val="24"/>
          <w:szCs w:val="24"/>
        </w:rPr>
        <w:t>. Nesse cenário, o presente estudo teve como objetivo analisar as fichas de notificação compulsória e de acompanhamento dos casos de hepatites B e C em Osório/RS, entre os anos de 2003 e 2023, visando delinear o perfil epidemiológico dessas infecções. Dessa forma, ampliar o conhecimento sobre os padrões de ocorrência e de distribuição dessas doenças, que representam um importante problema de saúde pública no município.</w:t>
      </w:r>
    </w:p>
    <w:p w14:paraId="3BA04362" w14:textId="77777777" w:rsidR="006D45CA" w:rsidRPr="00950A70" w:rsidRDefault="006D45CA" w:rsidP="00950A70">
      <w:pPr>
        <w:spacing w:before="200" w:after="200" w:line="360" w:lineRule="auto"/>
        <w:ind w:firstLine="709"/>
        <w:jc w:val="both"/>
        <w:rPr>
          <w:rFonts w:ascii="Times New Roman" w:hAnsi="Times New Roman" w:cs="Times New Roman"/>
          <w:bCs/>
          <w:sz w:val="24"/>
          <w:szCs w:val="24"/>
        </w:rPr>
      </w:pPr>
    </w:p>
    <w:p w14:paraId="52A0B300" w14:textId="7181E811" w:rsidR="006C1807" w:rsidRDefault="006C1807" w:rsidP="00752D4E">
      <w:pPr>
        <w:pStyle w:val="Ttulo1"/>
        <w:numPr>
          <w:ilvl w:val="0"/>
          <w:numId w:val="1"/>
        </w:numPr>
        <w:spacing w:line="360" w:lineRule="auto"/>
        <w:jc w:val="both"/>
        <w:rPr>
          <w:rFonts w:ascii="Times New Roman" w:eastAsia="Times New Roman" w:hAnsi="Times New Roman" w:cs="Times New Roman"/>
          <w:b/>
          <w:sz w:val="24"/>
          <w:szCs w:val="24"/>
        </w:rPr>
      </w:pPr>
      <w:bookmarkStart w:id="2" w:name="_Toc214644170"/>
      <w:r w:rsidRPr="00256DDA">
        <w:rPr>
          <w:rFonts w:ascii="Times New Roman" w:eastAsia="Times New Roman" w:hAnsi="Times New Roman" w:cs="Times New Roman"/>
          <w:b/>
          <w:sz w:val="24"/>
          <w:szCs w:val="24"/>
        </w:rPr>
        <w:t>M</w:t>
      </w:r>
      <w:bookmarkEnd w:id="2"/>
      <w:r w:rsidR="00F015AE">
        <w:rPr>
          <w:rFonts w:ascii="Times New Roman" w:eastAsia="Times New Roman" w:hAnsi="Times New Roman" w:cs="Times New Roman"/>
          <w:b/>
          <w:sz w:val="24"/>
          <w:szCs w:val="24"/>
        </w:rPr>
        <w:t xml:space="preserve">ATERIAIS E MÉTODOS </w:t>
      </w:r>
    </w:p>
    <w:p w14:paraId="3C8278D9" w14:textId="32D90BF6" w:rsidR="00535DF9" w:rsidRDefault="00535DF9" w:rsidP="006D45CA">
      <w:pPr>
        <w:spacing w:before="200" w:after="200" w:line="360" w:lineRule="auto"/>
        <w:ind w:firstLine="709"/>
        <w:jc w:val="both"/>
        <w:rPr>
          <w:rFonts w:ascii="Times New Roman" w:hAnsi="Times New Roman" w:cs="Times New Roman"/>
          <w:bCs/>
          <w:sz w:val="24"/>
          <w:szCs w:val="24"/>
        </w:rPr>
      </w:pPr>
      <w:r w:rsidRPr="006D45CA">
        <w:rPr>
          <w:rFonts w:ascii="Times New Roman" w:hAnsi="Times New Roman" w:cs="Times New Roman"/>
          <w:bCs/>
          <w:sz w:val="24"/>
          <w:szCs w:val="24"/>
        </w:rPr>
        <w:t>Trata-se de um estudo ecológico realizado com dados obtidos a partir de fichas de notificação compulsória e de acompanhamento de pacientes com hepatite B e C no município de Osório durante o período de 2003 a 2023. O estudo foi aprovado pelo Comitê de Ética em Pesquisa do Centro Universitário Cenecista de Osório (CEP/UNICNEC) parecer n</w:t>
      </w:r>
      <w:r w:rsidRPr="006D45CA">
        <w:rPr>
          <w:rFonts w:ascii="Times New Roman" w:hAnsi="Times New Roman" w:cs="Times New Roman"/>
          <w:bCs/>
          <w:sz w:val="24"/>
          <w:szCs w:val="24"/>
          <w:vertAlign w:val="superscript"/>
        </w:rPr>
        <w:t>o</w:t>
      </w:r>
      <w:r w:rsidRPr="006D45CA">
        <w:rPr>
          <w:rFonts w:ascii="Times New Roman" w:hAnsi="Times New Roman" w:cs="Times New Roman"/>
          <w:bCs/>
          <w:sz w:val="24"/>
          <w:szCs w:val="24"/>
        </w:rPr>
        <w:t>145165/2024 e a utilização das fichas foi autorizada pela Secretaria de Vigilância Epidemiológica e do Serviço de Atendimento Especializado (SAE) de Osório/RS. Foram incluídos todas as fichas de notificação individual e de acompanhamento de pacientes com 11 hepatite B e C residentes no município de Osório/RS no período estudado, totalizando um número final de 222 fichas. O município de Osório, localizado no litoral norte do RS, faz parte da Microrregião de Osório e da Mesorregião Metropolitana de Porto Alegre, encontrando-se a cerca de 95 km da capital estadual. De acordo com o Censo do Instituto Brasileiro de Geografia e Estatística (IBGE) de 2022, sua população estimada era de 47.396 habitantes, resultando em uma densidade demográfica de 71,39 </w:t>
      </w:r>
      <w:r w:rsidR="006D45CA" w:rsidRPr="006D45CA">
        <w:rPr>
          <w:rFonts w:ascii="Times New Roman" w:hAnsi="Times New Roman" w:cs="Times New Roman"/>
          <w:bCs/>
          <w:sz w:val="24"/>
          <w:szCs w:val="24"/>
        </w:rPr>
        <w:t>hab.</w:t>
      </w:r>
      <w:r w:rsidRPr="006D45CA">
        <w:rPr>
          <w:rFonts w:ascii="Times New Roman" w:hAnsi="Times New Roman" w:cs="Times New Roman"/>
          <w:bCs/>
          <w:sz w:val="24"/>
          <w:szCs w:val="24"/>
        </w:rPr>
        <w:t xml:space="preserve">/km². Na primeira fase do estudo, na sede da SAE em Osório, as fichas em papel foram lidas e seus dados foram transferidos para uma planilha do software Excel®. Essas fichas são utilizadas para alimentar o Sistema de Informação de Agravos de Notificação (SINAN) do Ministério da Saúde. As variáveis coletadas foram as seguintes: sexo (masculino e feminino); escolaridade (fundamental, médio, superior e não informado); idade (0-9 anos, 10-19 anos, 20 29 anos, 30-39 anos, 40-49 anos, 50-59 anos e mais de 60 anos); coinfecções com outras ISTs (HIV, HIV e outra IST, outras ISTs e nenhuma IST); vacinação contra hepatite B (completa, incompleta, não vacinados e não informado); diagnóstico clínico (hepatite B aguda, hepatite B crônica, hepatite C aguda; hepatite C crônica; coinfecção); evolução dos casos confirmados de hepatites virais (cura </w:t>
      </w:r>
      <w:r w:rsidRPr="006D45CA">
        <w:rPr>
          <w:rFonts w:ascii="Times New Roman" w:hAnsi="Times New Roman" w:cs="Times New Roman"/>
          <w:bCs/>
          <w:sz w:val="24"/>
          <w:szCs w:val="24"/>
        </w:rPr>
        <w:lastRenderedPageBreak/>
        <w:t>virológica, vírus detectável ou inconclusivo); genótipo do vírus da hepatite C (1, 1A, 1B, 2, 3 e 3A). Os dados de pacientes que vieram a óbito devido a hepatites virais foram registrados separadamente em uma planilha distinta e não foram incluídos na amostra principal de 222 fichas, cujo foco foi a análise da epidemiologia e do acompanhamento clínico dos pacientes com registro completo. Na segunda fase do estudo, com o objetivo de caracterizar a amostra, foi realizada uma análise descritiva de todas as variáveis relacionadas aos casos notificados de hepatite B, hepatite C e coinfecções por ambos os vírus. Os casos foram descritos em frequências absolutas e relativas segundo as variáveis sexo, escolaridade, faixa etária, vacinação contra hepatite B, diagnóstico clínico, evolução dos casos confirmados de hepatite e genótipo viral da hepatite C. Utilizando o software BioEstat 5.</w:t>
      </w:r>
      <w:r w:rsidR="006D45CA">
        <w:rPr>
          <w:rFonts w:ascii="Times New Roman" w:hAnsi="Times New Roman" w:cs="Times New Roman"/>
          <w:bCs/>
          <w:sz w:val="24"/>
          <w:szCs w:val="24"/>
        </w:rPr>
        <w:t>3</w:t>
      </w:r>
      <w:r w:rsidRPr="006D45CA">
        <w:rPr>
          <w:rFonts w:ascii="Times New Roman" w:hAnsi="Times New Roman" w:cs="Times New Roman"/>
          <w:bCs/>
          <w:sz w:val="24"/>
          <w:szCs w:val="24"/>
        </w:rPr>
        <w:t>®, foi realizada a análise de associação entre as variáveis sexo, escolaridade, faixa etária e presença de ISTs com os tipos de hepatite (Hepatite B, Hepatite C e Coinfecção B+C), utilizando o teste Qui-quadrado de Pearson. O mesmo teste foi utilizado para verificar a associação entre a evolução clínica dos casos e o tipo de diagnóstico de hepatite. Em todas as análises inferenciais, foi adotado um nível de significância de 5% (P ≤ 0.05). Por fim, para os cálculos da incidência e da prevalência, foi considerada a população residente em Osório, segundo os dados populacionais oficiais do IBGE disponíveis para o período de 2003 a 2023, sendo o resultando multiplicado por 100.000 habitantes</w:t>
      </w:r>
      <w:r w:rsidRPr="006D45CA">
        <w:rPr>
          <w:rFonts w:ascii="Times New Roman" w:hAnsi="Times New Roman" w:cs="Times New Roman"/>
          <w:bCs/>
          <w:sz w:val="24"/>
          <w:szCs w:val="24"/>
          <w:vertAlign w:val="superscript"/>
        </w:rPr>
        <w:t>28</w:t>
      </w:r>
      <w:r w:rsidRPr="006D45CA">
        <w:rPr>
          <w:rFonts w:ascii="Times New Roman" w:hAnsi="Times New Roman" w:cs="Times New Roman"/>
          <w:bCs/>
          <w:sz w:val="24"/>
          <w:szCs w:val="24"/>
        </w:rPr>
        <w:t>.</w:t>
      </w:r>
    </w:p>
    <w:p w14:paraId="29EB3EC9" w14:textId="77777777" w:rsidR="006D45CA" w:rsidRPr="006D45CA" w:rsidRDefault="006D45CA" w:rsidP="006D45CA">
      <w:pPr>
        <w:spacing w:before="200" w:after="200" w:line="360" w:lineRule="auto"/>
        <w:ind w:firstLine="709"/>
        <w:jc w:val="both"/>
        <w:rPr>
          <w:rFonts w:ascii="Times New Roman" w:hAnsi="Times New Roman" w:cs="Times New Roman"/>
          <w:bCs/>
          <w:sz w:val="24"/>
          <w:szCs w:val="24"/>
        </w:rPr>
      </w:pPr>
    </w:p>
    <w:p w14:paraId="646B0615" w14:textId="02D881D2" w:rsidR="00ED0031" w:rsidRDefault="006C1807" w:rsidP="00752D4E">
      <w:pPr>
        <w:pStyle w:val="Ttulo1"/>
        <w:numPr>
          <w:ilvl w:val="0"/>
          <w:numId w:val="1"/>
        </w:numPr>
        <w:spacing w:line="360" w:lineRule="auto"/>
        <w:jc w:val="both"/>
        <w:rPr>
          <w:rFonts w:ascii="Times New Roman" w:eastAsia="Times New Roman" w:hAnsi="Times New Roman" w:cs="Times New Roman"/>
          <w:b/>
          <w:sz w:val="24"/>
          <w:szCs w:val="24"/>
        </w:rPr>
      </w:pPr>
      <w:bookmarkStart w:id="3" w:name="_Toc202181760"/>
      <w:bookmarkStart w:id="4" w:name="_Toc214644171"/>
      <w:r w:rsidRPr="00256DDA">
        <w:rPr>
          <w:rFonts w:ascii="Times New Roman" w:eastAsia="Times New Roman" w:hAnsi="Times New Roman" w:cs="Times New Roman"/>
          <w:b/>
          <w:sz w:val="24"/>
          <w:szCs w:val="24"/>
        </w:rPr>
        <w:t>RESULTADOS</w:t>
      </w:r>
      <w:bookmarkEnd w:id="3"/>
      <w:bookmarkEnd w:id="4"/>
    </w:p>
    <w:p w14:paraId="62E371B3" w14:textId="77777777" w:rsidR="00EE77EA" w:rsidRDefault="00EE77EA" w:rsidP="00EE77EA">
      <w:pPr>
        <w:spacing w:before="200" w:after="200" w:line="360" w:lineRule="auto"/>
        <w:ind w:firstLine="709"/>
        <w:jc w:val="both"/>
        <w:rPr>
          <w:rFonts w:ascii="Times New Roman" w:hAnsi="Times New Roman" w:cs="Times New Roman"/>
          <w:bCs/>
          <w:sz w:val="24"/>
          <w:szCs w:val="24"/>
        </w:rPr>
      </w:pPr>
      <w:r w:rsidRPr="00EE77EA">
        <w:rPr>
          <w:rFonts w:ascii="Times New Roman" w:hAnsi="Times New Roman" w:cs="Times New Roman"/>
          <w:bCs/>
          <w:sz w:val="24"/>
          <w:szCs w:val="24"/>
        </w:rPr>
        <w:t xml:space="preserve">Dos 222 casos notificados no período, 12 foram excluídos por não atenderem aos critérios de definição para casos confirmados de hepatite B, hepatite C ou coinfecção por ambos os vírus. Assim, permaneceram para análise 210 casos, dos quais 71 eram de hepatite B, 133 de hepatite C e 6 de coinfecção. Do total de casos notificados e investigados no período do estudo, 53.80% ocorreram no sexo masculino e 46.20% no sexo feminino. Com relação à escolaridade, apesar de 45.23% não terem informaram o nível de escolaridade, 39.05% responderem que apresentam apenas o nível fundamental. Quando a faixa etária de maior frequência, destaca-se a faixa etária de 40-49 anos, apresentando 33.91% dos casos notificados no período analisado. Na tabela 1, esses dados </w:t>
      </w:r>
      <w:r w:rsidRPr="00EE77EA">
        <w:rPr>
          <w:rFonts w:ascii="Times New Roman" w:hAnsi="Times New Roman" w:cs="Times New Roman"/>
          <w:bCs/>
          <w:sz w:val="24"/>
          <w:szCs w:val="24"/>
        </w:rPr>
        <w:lastRenderedPageBreak/>
        <w:t xml:space="preserve">foram estratificados por laudo final de hepatite, somando os casos agudos e crônicos, sexo, escolaridade, faixa etária e infecções por outras ISTs. </w:t>
      </w:r>
    </w:p>
    <w:p w14:paraId="3BEF1680" w14:textId="77777777" w:rsidR="00EE77EA" w:rsidRDefault="00EE77EA" w:rsidP="00EE77EA">
      <w:pPr>
        <w:spacing w:before="200" w:after="200" w:line="360" w:lineRule="auto"/>
        <w:ind w:firstLine="709"/>
        <w:jc w:val="both"/>
        <w:rPr>
          <w:rFonts w:ascii="Times New Roman" w:hAnsi="Times New Roman" w:cs="Times New Roman"/>
          <w:bCs/>
          <w:sz w:val="24"/>
          <w:szCs w:val="24"/>
        </w:rPr>
      </w:pPr>
      <w:r w:rsidRPr="00EE77EA">
        <w:rPr>
          <w:rFonts w:ascii="Times New Roman" w:hAnsi="Times New Roman" w:cs="Times New Roman"/>
          <w:bCs/>
          <w:sz w:val="24"/>
          <w:szCs w:val="24"/>
        </w:rPr>
        <w:t xml:space="preserve">Quando os casos são estratificados por tipo de hepatite, dos 71 casos de hepatite B, 52.12% eram do sexo masculino e 47.88% do sexo feminino. Com relação à hepatite C, dos 133 casos, 53.38% eram do sexo masculino e 46.62% do sexo feminino. Entre os 6 casos de coinfecção por hepatite B e C, 83.34% eram do sexo masculino e apenas 16.66 do sexo 13 feminino. Não foi observada diferença significativa nas comparações entre as frequências de casos estratificados por tipo de hepatite entre os sexos (P=0.3335). </w:t>
      </w:r>
    </w:p>
    <w:p w14:paraId="311FBD95" w14:textId="77777777" w:rsidR="00EE77EA" w:rsidRDefault="00EE77EA" w:rsidP="00EE77EA">
      <w:pPr>
        <w:spacing w:before="200" w:after="200" w:line="360" w:lineRule="auto"/>
        <w:ind w:firstLine="709"/>
        <w:jc w:val="both"/>
        <w:rPr>
          <w:rFonts w:ascii="Times New Roman" w:hAnsi="Times New Roman" w:cs="Times New Roman"/>
          <w:bCs/>
          <w:sz w:val="24"/>
          <w:szCs w:val="24"/>
        </w:rPr>
      </w:pPr>
      <w:r w:rsidRPr="00EE77EA">
        <w:rPr>
          <w:rFonts w:ascii="Times New Roman" w:hAnsi="Times New Roman" w:cs="Times New Roman"/>
          <w:bCs/>
          <w:sz w:val="24"/>
          <w:szCs w:val="24"/>
        </w:rPr>
        <w:t xml:space="preserve">Quanto à variável escolaridade, na hepatite B houve predomínio dos que concluíram o ensino fundamental (43.66%). Nos casos de hepatite C, o maior percentual é de indivíduos que não informaram o grau de escolaridade (47.41%), o mesmo que foi observado nos casos de coinfecção das hepatites B e C (50.00%). Novamente, não foi observada diferença significativa nas comparações entre as frequências de casos estratificados por tipo de hepatite entre os níveis de escolaridade (P=0.5416). </w:t>
      </w:r>
    </w:p>
    <w:p w14:paraId="32442377" w14:textId="77777777" w:rsidR="00EE77EA" w:rsidRDefault="00EE77EA" w:rsidP="00EE77EA">
      <w:pPr>
        <w:spacing w:before="200" w:after="200" w:line="360" w:lineRule="auto"/>
        <w:ind w:firstLine="709"/>
        <w:jc w:val="both"/>
        <w:rPr>
          <w:rFonts w:ascii="Times New Roman" w:hAnsi="Times New Roman" w:cs="Times New Roman"/>
          <w:bCs/>
          <w:sz w:val="24"/>
          <w:szCs w:val="24"/>
        </w:rPr>
      </w:pPr>
      <w:r w:rsidRPr="00EE77EA">
        <w:rPr>
          <w:rFonts w:ascii="Times New Roman" w:hAnsi="Times New Roman" w:cs="Times New Roman"/>
          <w:bCs/>
          <w:sz w:val="24"/>
          <w:szCs w:val="24"/>
        </w:rPr>
        <w:t xml:space="preserve">Em relação à faixa etária, a maior frequência de casos de hepatite B foi observada entre indivíduos de 50 a 59 anos, correspondendo a 29.58% dos casos deste grupo. Para a hepatite C, a faixa etária predominante foi de 40 a 49 anos, representando 38.35% dos casos. Nos casos de coinfecção por hepatite B e C, as faixas etárias de 30 a 39, 40 a 49 e 50 a 59 anos apresentaram frequências iguais, cada uma correspondendo a 33.33% dos casos. A análise estatística da variável faixa etária apresentou um valor de P igual a 0.088, indicando que não houve associação estatisticamente significativa entre a faixa etária e o tipo de hepatite. </w:t>
      </w:r>
    </w:p>
    <w:p w14:paraId="65C7AF3C" w14:textId="77777777" w:rsidR="00EE77EA" w:rsidRDefault="00EE77EA" w:rsidP="00EE77EA">
      <w:pPr>
        <w:spacing w:before="200" w:after="200" w:line="360" w:lineRule="auto"/>
        <w:ind w:firstLine="709"/>
        <w:jc w:val="both"/>
        <w:rPr>
          <w:rFonts w:ascii="Times New Roman" w:hAnsi="Times New Roman" w:cs="Times New Roman"/>
          <w:bCs/>
          <w:sz w:val="24"/>
          <w:szCs w:val="24"/>
        </w:rPr>
      </w:pPr>
      <w:r w:rsidRPr="00EE77EA">
        <w:rPr>
          <w:rFonts w:ascii="Times New Roman" w:hAnsi="Times New Roman" w:cs="Times New Roman"/>
          <w:bCs/>
          <w:sz w:val="24"/>
          <w:szCs w:val="24"/>
        </w:rPr>
        <w:t xml:space="preserve">Neste estudo, notou-se a presença de coinfecção com HIV. Na hepatite B, esse índice foi de 6.85%, na hepatite C de 11.45% e ainda nos casos de hepatite B e C, as taxas chegaram a 33.33%. Apesar disso, é importante destacar que a maioria dos casos de hepatite B (83.56%), hepatite C (80.92%) e das duas infecções concomitantes (66.66%) não apresentam outras ISTs. A análise estatística não evidenciou diferença significativa nas comparações entre as frequências de casos com ou sem outras ISTs, quando estratificados por tipo de hepatite (P=0.120). </w:t>
      </w:r>
    </w:p>
    <w:p w14:paraId="58035941" w14:textId="7B1167CA" w:rsidR="00EE77EA" w:rsidRDefault="00EE77EA" w:rsidP="00EE77EA">
      <w:pPr>
        <w:spacing w:before="200" w:after="200" w:line="360" w:lineRule="auto"/>
        <w:ind w:firstLine="709"/>
        <w:jc w:val="both"/>
        <w:rPr>
          <w:rFonts w:ascii="Times New Roman" w:hAnsi="Times New Roman" w:cs="Times New Roman"/>
          <w:bCs/>
          <w:sz w:val="24"/>
          <w:szCs w:val="24"/>
        </w:rPr>
      </w:pPr>
      <w:r w:rsidRPr="00EE77EA">
        <w:rPr>
          <w:rFonts w:ascii="Times New Roman" w:hAnsi="Times New Roman" w:cs="Times New Roman"/>
          <w:bCs/>
          <w:sz w:val="24"/>
          <w:szCs w:val="24"/>
        </w:rPr>
        <w:lastRenderedPageBreak/>
        <w:t>Entre os 210 casos analisados, 68.10% não apresentavam histórico de vacinação contra a hepatite B e 6.19% tinham o esquema vacinal incompleto. Entre os indivíduos vacinados, 8 foram diagnosticados com hepatite B e 19 com hepatite C. A baixa proporção de casos com 14 vacinação completa limitou a possibilidade de alcançar significância estatística nas análises, dificultando também a interpretação de possíveis associações entre o status vacinal e as demais variáveis investigadas.</w:t>
      </w:r>
    </w:p>
    <w:p w14:paraId="2BA62D33" w14:textId="68619150" w:rsidR="00EE77EA" w:rsidRPr="00EE77EA" w:rsidRDefault="00EE77EA" w:rsidP="009F5DFD">
      <w:pPr>
        <w:spacing w:before="200" w:after="200" w:line="240" w:lineRule="auto"/>
        <w:ind w:firstLine="720"/>
        <w:jc w:val="both"/>
        <w:rPr>
          <w:rFonts w:ascii="Times New Roman" w:hAnsi="Times New Roman" w:cs="Times New Roman"/>
          <w:bCs/>
          <w:sz w:val="20"/>
          <w:szCs w:val="20"/>
        </w:rPr>
      </w:pPr>
      <w:r w:rsidRPr="00EE77EA">
        <w:rPr>
          <w:rFonts w:ascii="Times New Roman" w:hAnsi="Times New Roman" w:cs="Times New Roman"/>
          <w:b/>
          <w:sz w:val="20"/>
          <w:szCs w:val="20"/>
        </w:rPr>
        <w:t>Tabela 1.</w:t>
      </w:r>
      <w:r w:rsidRPr="00EE77EA">
        <w:rPr>
          <w:rFonts w:ascii="Times New Roman" w:hAnsi="Times New Roman" w:cs="Times New Roman"/>
          <w:bCs/>
          <w:sz w:val="20"/>
          <w:szCs w:val="20"/>
        </w:rPr>
        <w:t xml:space="preserve"> Distribuição dos casos de Hepatite B, Hepatite C e Coinfecção segundo sexo, escolaridade, faixa etária e presença de outras ISTs, Osório/RS, entre 2003 e 2023.</w:t>
      </w:r>
    </w:p>
    <w:tbl>
      <w:tblPr>
        <w:tblStyle w:val="a"/>
        <w:tblW w:w="8789" w:type="dxa"/>
        <w:tblInd w:w="0" w:type="dxa"/>
        <w:tblBorders>
          <w:top w:val="single" w:sz="4" w:space="0" w:color="000000"/>
          <w:bottom w:val="single" w:sz="4" w:space="0" w:color="000000"/>
        </w:tblBorders>
        <w:tblLayout w:type="fixed"/>
        <w:tblLook w:val="0400" w:firstRow="0" w:lastRow="0" w:firstColumn="0" w:lastColumn="0" w:noHBand="0" w:noVBand="1"/>
      </w:tblPr>
      <w:tblGrid>
        <w:gridCol w:w="1418"/>
        <w:gridCol w:w="811"/>
        <w:gridCol w:w="767"/>
        <w:gridCol w:w="770"/>
        <w:gridCol w:w="838"/>
        <w:gridCol w:w="698"/>
        <w:gridCol w:w="691"/>
        <w:gridCol w:w="706"/>
        <w:gridCol w:w="984"/>
        <w:gridCol w:w="1106"/>
      </w:tblGrid>
      <w:tr w:rsidR="00EE77EA" w:rsidRPr="00EE77EA" w14:paraId="559C54F1" w14:textId="77777777" w:rsidTr="009F5DFD">
        <w:trPr>
          <w:cnfStyle w:val="000000100000" w:firstRow="0" w:lastRow="0" w:firstColumn="0" w:lastColumn="0" w:oddVBand="0" w:evenVBand="0" w:oddHBand="1" w:evenHBand="0" w:firstRowFirstColumn="0" w:firstRowLastColumn="0" w:lastRowFirstColumn="0" w:lastRowLastColumn="0"/>
          <w:trHeight w:val="447"/>
        </w:trPr>
        <w:tc>
          <w:tcPr>
            <w:tcW w:w="1418" w:type="dxa"/>
            <w:shd w:val="clear" w:color="auto" w:fill="D9D9D9"/>
          </w:tcPr>
          <w:p w14:paraId="2120D3B2" w14:textId="77777777" w:rsidR="00EE77EA" w:rsidRPr="00EE77EA" w:rsidRDefault="00EE77EA" w:rsidP="00961EFA">
            <w:pP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Variável</w:t>
            </w:r>
          </w:p>
        </w:tc>
        <w:tc>
          <w:tcPr>
            <w:tcW w:w="1578" w:type="dxa"/>
            <w:gridSpan w:val="2"/>
            <w:shd w:val="clear" w:color="auto" w:fill="D9D9D9"/>
          </w:tcPr>
          <w:p w14:paraId="03662929"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Hepatite B</w:t>
            </w:r>
          </w:p>
        </w:tc>
        <w:tc>
          <w:tcPr>
            <w:tcW w:w="1608" w:type="dxa"/>
            <w:gridSpan w:val="2"/>
            <w:shd w:val="clear" w:color="auto" w:fill="D9D9D9"/>
          </w:tcPr>
          <w:p w14:paraId="0145C70A"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Hepatite C</w:t>
            </w:r>
          </w:p>
        </w:tc>
        <w:tc>
          <w:tcPr>
            <w:tcW w:w="1389" w:type="dxa"/>
            <w:gridSpan w:val="2"/>
            <w:shd w:val="clear" w:color="auto" w:fill="D9D9D9"/>
          </w:tcPr>
          <w:p w14:paraId="6CF18680"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Coinfecção</w:t>
            </w:r>
          </w:p>
        </w:tc>
        <w:tc>
          <w:tcPr>
            <w:tcW w:w="1690" w:type="dxa"/>
            <w:gridSpan w:val="2"/>
            <w:shd w:val="clear" w:color="auto" w:fill="D9D9D9"/>
          </w:tcPr>
          <w:p w14:paraId="08C1BB5D"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Total</w:t>
            </w:r>
          </w:p>
        </w:tc>
        <w:tc>
          <w:tcPr>
            <w:tcW w:w="1106" w:type="dxa"/>
            <w:shd w:val="clear" w:color="auto" w:fill="D9D9D9"/>
          </w:tcPr>
          <w:p w14:paraId="0B3D9C28"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i/>
                <w:iCs/>
                <w:sz w:val="20"/>
                <w:szCs w:val="20"/>
              </w:rPr>
              <w:t>P</w:t>
            </w:r>
            <w:r w:rsidRPr="00EE77EA">
              <w:rPr>
                <w:rFonts w:ascii="Times New Roman" w:eastAsia="Times New Roman" w:hAnsi="Times New Roman" w:cs="Times New Roman"/>
                <w:b/>
                <w:bCs/>
                <w:sz w:val="20"/>
                <w:szCs w:val="20"/>
              </w:rPr>
              <w:t xml:space="preserve"> valor</w:t>
            </w:r>
          </w:p>
        </w:tc>
      </w:tr>
      <w:tr w:rsidR="009F5DFD" w:rsidRPr="00EE77EA" w14:paraId="55659408" w14:textId="77777777" w:rsidTr="009F5DFD">
        <w:trPr>
          <w:trHeight w:val="240"/>
        </w:trPr>
        <w:tc>
          <w:tcPr>
            <w:tcW w:w="1418" w:type="dxa"/>
            <w:shd w:val="clear" w:color="auto" w:fill="D9D9D9"/>
          </w:tcPr>
          <w:p w14:paraId="6973740B" w14:textId="77777777" w:rsidR="00EE77EA" w:rsidRPr="00EE77EA" w:rsidRDefault="00EE77EA" w:rsidP="00961EFA">
            <w:pPr>
              <w:rPr>
                <w:rFonts w:ascii="Times New Roman" w:eastAsia="Times New Roman" w:hAnsi="Times New Roman" w:cs="Times New Roman"/>
                <w:b/>
                <w:bCs/>
                <w:sz w:val="20"/>
                <w:szCs w:val="20"/>
              </w:rPr>
            </w:pPr>
          </w:p>
        </w:tc>
        <w:tc>
          <w:tcPr>
            <w:tcW w:w="811" w:type="dxa"/>
            <w:shd w:val="clear" w:color="auto" w:fill="D9D9D9"/>
          </w:tcPr>
          <w:p w14:paraId="0D37C9AD"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N</w:t>
            </w:r>
          </w:p>
        </w:tc>
        <w:tc>
          <w:tcPr>
            <w:tcW w:w="767" w:type="dxa"/>
            <w:shd w:val="clear" w:color="auto" w:fill="D9D9D9"/>
          </w:tcPr>
          <w:p w14:paraId="3040B91B"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w:t>
            </w:r>
          </w:p>
        </w:tc>
        <w:tc>
          <w:tcPr>
            <w:tcW w:w="770" w:type="dxa"/>
            <w:shd w:val="clear" w:color="auto" w:fill="D9D9D9"/>
          </w:tcPr>
          <w:p w14:paraId="3E0A10AF"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N</w:t>
            </w:r>
          </w:p>
        </w:tc>
        <w:tc>
          <w:tcPr>
            <w:tcW w:w="838" w:type="dxa"/>
            <w:shd w:val="clear" w:color="auto" w:fill="D9D9D9"/>
          </w:tcPr>
          <w:p w14:paraId="232ED52E"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w:t>
            </w:r>
          </w:p>
        </w:tc>
        <w:tc>
          <w:tcPr>
            <w:tcW w:w="698" w:type="dxa"/>
            <w:shd w:val="clear" w:color="auto" w:fill="D9D9D9"/>
          </w:tcPr>
          <w:p w14:paraId="56B503C0"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N</w:t>
            </w:r>
          </w:p>
        </w:tc>
        <w:tc>
          <w:tcPr>
            <w:tcW w:w="691" w:type="dxa"/>
            <w:shd w:val="clear" w:color="auto" w:fill="D9D9D9"/>
          </w:tcPr>
          <w:p w14:paraId="795DC5DF"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w:t>
            </w:r>
          </w:p>
        </w:tc>
        <w:tc>
          <w:tcPr>
            <w:tcW w:w="706" w:type="dxa"/>
            <w:shd w:val="clear" w:color="auto" w:fill="D9D9D9"/>
          </w:tcPr>
          <w:p w14:paraId="1D7CF626"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N</w:t>
            </w:r>
          </w:p>
        </w:tc>
        <w:tc>
          <w:tcPr>
            <w:tcW w:w="984" w:type="dxa"/>
            <w:shd w:val="clear" w:color="auto" w:fill="D9D9D9"/>
          </w:tcPr>
          <w:p w14:paraId="5DFBC647"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w:t>
            </w:r>
          </w:p>
        </w:tc>
        <w:tc>
          <w:tcPr>
            <w:tcW w:w="1106" w:type="dxa"/>
            <w:shd w:val="clear" w:color="auto" w:fill="D9D9D9"/>
          </w:tcPr>
          <w:p w14:paraId="1EF26DA8" w14:textId="77777777" w:rsidR="00EE77EA" w:rsidRPr="00EE77EA" w:rsidRDefault="00EE77EA" w:rsidP="009F5DFD">
            <w:pPr>
              <w:jc w:val="center"/>
              <w:rPr>
                <w:rFonts w:ascii="Times New Roman" w:eastAsia="Times New Roman" w:hAnsi="Times New Roman" w:cs="Times New Roman"/>
                <w:b/>
                <w:bCs/>
                <w:sz w:val="20"/>
                <w:szCs w:val="20"/>
              </w:rPr>
            </w:pPr>
          </w:p>
        </w:tc>
      </w:tr>
      <w:tr w:rsidR="009F5DFD" w:rsidRPr="00EE77EA" w14:paraId="20B51E76" w14:textId="77777777" w:rsidTr="009F5DFD">
        <w:trPr>
          <w:cnfStyle w:val="000000100000" w:firstRow="0" w:lastRow="0" w:firstColumn="0" w:lastColumn="0" w:oddVBand="0" w:evenVBand="0" w:oddHBand="1" w:evenHBand="0" w:firstRowFirstColumn="0" w:firstRowLastColumn="0" w:lastRowFirstColumn="0" w:lastRowLastColumn="0"/>
          <w:trHeight w:val="447"/>
        </w:trPr>
        <w:tc>
          <w:tcPr>
            <w:tcW w:w="1418" w:type="dxa"/>
            <w:shd w:val="clear" w:color="auto" w:fill="FFFFFF"/>
          </w:tcPr>
          <w:p w14:paraId="34ECD41E" w14:textId="77777777" w:rsidR="00EE77EA" w:rsidRPr="00EE77EA" w:rsidRDefault="00EE77EA" w:rsidP="00961EFA">
            <w:pP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Sexo</w:t>
            </w:r>
          </w:p>
          <w:p w14:paraId="7C925B3C"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Masculino</w:t>
            </w:r>
          </w:p>
          <w:p w14:paraId="15C312EC"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Feminino</w:t>
            </w:r>
          </w:p>
          <w:p w14:paraId="77B9A09A" w14:textId="77777777" w:rsidR="00EE77EA" w:rsidRPr="00EE77EA" w:rsidRDefault="00EE77EA" w:rsidP="00961EFA">
            <w:pPr>
              <w:rPr>
                <w:rFonts w:ascii="Times New Roman" w:eastAsia="Times New Roman" w:hAnsi="Times New Roman" w:cs="Times New Roman"/>
                <w:b/>
                <w:bCs/>
                <w:sz w:val="20"/>
                <w:szCs w:val="20"/>
              </w:rPr>
            </w:pPr>
          </w:p>
        </w:tc>
        <w:tc>
          <w:tcPr>
            <w:tcW w:w="811" w:type="dxa"/>
            <w:shd w:val="clear" w:color="auto" w:fill="FFFFFF"/>
          </w:tcPr>
          <w:p w14:paraId="27532EFB" w14:textId="77777777" w:rsidR="00EE77EA" w:rsidRPr="00EE77EA" w:rsidRDefault="00EE77EA" w:rsidP="009F5DFD">
            <w:pPr>
              <w:jc w:val="center"/>
              <w:rPr>
                <w:rFonts w:ascii="Times New Roman" w:eastAsia="Times New Roman" w:hAnsi="Times New Roman" w:cs="Times New Roman"/>
                <w:sz w:val="20"/>
                <w:szCs w:val="20"/>
              </w:rPr>
            </w:pPr>
          </w:p>
          <w:p w14:paraId="3D3E108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37</w:t>
            </w:r>
          </w:p>
          <w:p w14:paraId="110DC20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34</w:t>
            </w:r>
          </w:p>
        </w:tc>
        <w:tc>
          <w:tcPr>
            <w:tcW w:w="767" w:type="dxa"/>
            <w:shd w:val="clear" w:color="auto" w:fill="FFFFFF"/>
          </w:tcPr>
          <w:p w14:paraId="57D82622" w14:textId="77777777" w:rsidR="00EE77EA" w:rsidRPr="00EE77EA" w:rsidRDefault="00EE77EA" w:rsidP="009F5DFD">
            <w:pPr>
              <w:jc w:val="center"/>
              <w:rPr>
                <w:rFonts w:ascii="Times New Roman" w:eastAsia="Times New Roman" w:hAnsi="Times New Roman" w:cs="Times New Roman"/>
                <w:sz w:val="20"/>
                <w:szCs w:val="20"/>
              </w:rPr>
            </w:pPr>
          </w:p>
          <w:p w14:paraId="1A3BBFA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52.12</w:t>
            </w:r>
          </w:p>
          <w:p w14:paraId="0134CA6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47.88</w:t>
            </w:r>
          </w:p>
        </w:tc>
        <w:tc>
          <w:tcPr>
            <w:tcW w:w="770" w:type="dxa"/>
            <w:shd w:val="clear" w:color="auto" w:fill="FFFFFF"/>
          </w:tcPr>
          <w:p w14:paraId="6144BB1C" w14:textId="77777777" w:rsidR="00EE77EA" w:rsidRPr="00EE77EA" w:rsidRDefault="00EE77EA" w:rsidP="009F5DFD">
            <w:pPr>
              <w:jc w:val="center"/>
              <w:rPr>
                <w:rFonts w:ascii="Times New Roman" w:eastAsia="Times New Roman" w:hAnsi="Times New Roman" w:cs="Times New Roman"/>
                <w:b/>
                <w:bCs/>
                <w:sz w:val="20"/>
                <w:szCs w:val="20"/>
              </w:rPr>
            </w:pPr>
          </w:p>
          <w:p w14:paraId="24CB132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71</w:t>
            </w:r>
          </w:p>
          <w:p w14:paraId="1DAA1596"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62</w:t>
            </w:r>
          </w:p>
        </w:tc>
        <w:tc>
          <w:tcPr>
            <w:tcW w:w="838" w:type="dxa"/>
            <w:shd w:val="clear" w:color="auto" w:fill="FFFFFF"/>
          </w:tcPr>
          <w:p w14:paraId="210AD63D" w14:textId="77777777" w:rsidR="00EE77EA" w:rsidRPr="00EE77EA" w:rsidRDefault="00EE77EA" w:rsidP="009F5DFD">
            <w:pPr>
              <w:jc w:val="center"/>
              <w:rPr>
                <w:rFonts w:ascii="Times New Roman" w:eastAsia="Times New Roman" w:hAnsi="Times New Roman" w:cs="Times New Roman"/>
                <w:sz w:val="20"/>
                <w:szCs w:val="20"/>
              </w:rPr>
            </w:pPr>
          </w:p>
          <w:p w14:paraId="37C9A53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53.38</w:t>
            </w:r>
          </w:p>
          <w:p w14:paraId="4DD444F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46.62</w:t>
            </w:r>
          </w:p>
        </w:tc>
        <w:tc>
          <w:tcPr>
            <w:tcW w:w="698" w:type="dxa"/>
            <w:shd w:val="clear" w:color="auto" w:fill="FFFFFF"/>
          </w:tcPr>
          <w:p w14:paraId="63676A1C" w14:textId="77777777" w:rsidR="00EE77EA" w:rsidRPr="00EE77EA" w:rsidRDefault="00EE77EA" w:rsidP="009F5DFD">
            <w:pPr>
              <w:jc w:val="center"/>
              <w:rPr>
                <w:rFonts w:ascii="Times New Roman" w:eastAsia="Times New Roman" w:hAnsi="Times New Roman" w:cs="Times New Roman"/>
                <w:b/>
                <w:bCs/>
                <w:sz w:val="20"/>
                <w:szCs w:val="20"/>
              </w:rPr>
            </w:pPr>
          </w:p>
          <w:p w14:paraId="115EA9F6"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w:t>
            </w:r>
          </w:p>
          <w:p w14:paraId="77AB0A85"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sz w:val="20"/>
                <w:szCs w:val="20"/>
              </w:rPr>
              <w:t>1</w:t>
            </w:r>
          </w:p>
        </w:tc>
        <w:tc>
          <w:tcPr>
            <w:tcW w:w="691" w:type="dxa"/>
            <w:shd w:val="clear" w:color="auto" w:fill="FFFFFF"/>
          </w:tcPr>
          <w:p w14:paraId="77BF8D72" w14:textId="77777777" w:rsidR="00EE77EA" w:rsidRPr="00EE77EA" w:rsidRDefault="00EE77EA" w:rsidP="009F5DFD">
            <w:pPr>
              <w:jc w:val="center"/>
              <w:rPr>
                <w:rFonts w:ascii="Times New Roman" w:eastAsia="Times New Roman" w:hAnsi="Times New Roman" w:cs="Times New Roman"/>
                <w:b/>
                <w:bCs/>
                <w:sz w:val="20"/>
                <w:szCs w:val="20"/>
              </w:rPr>
            </w:pPr>
          </w:p>
          <w:p w14:paraId="0AA2357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83.34</w:t>
            </w:r>
          </w:p>
          <w:p w14:paraId="0BE9009A"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sz w:val="20"/>
                <w:szCs w:val="20"/>
              </w:rPr>
              <w:t>16.66</w:t>
            </w:r>
          </w:p>
        </w:tc>
        <w:tc>
          <w:tcPr>
            <w:tcW w:w="706" w:type="dxa"/>
            <w:shd w:val="clear" w:color="auto" w:fill="FFFFFF"/>
          </w:tcPr>
          <w:p w14:paraId="04C8D18A" w14:textId="77777777" w:rsidR="00EE77EA" w:rsidRPr="00EE77EA" w:rsidRDefault="00EE77EA" w:rsidP="009F5DFD">
            <w:pPr>
              <w:jc w:val="center"/>
              <w:rPr>
                <w:rFonts w:ascii="Times New Roman" w:eastAsia="Times New Roman" w:hAnsi="Times New Roman" w:cs="Times New Roman"/>
                <w:b/>
                <w:bCs/>
                <w:sz w:val="20"/>
                <w:szCs w:val="20"/>
              </w:rPr>
            </w:pPr>
          </w:p>
          <w:p w14:paraId="271B5A7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113</w:t>
            </w:r>
          </w:p>
          <w:p w14:paraId="5F69B3E9"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sz w:val="20"/>
                <w:szCs w:val="20"/>
              </w:rPr>
              <w:t>97</w:t>
            </w:r>
          </w:p>
        </w:tc>
        <w:tc>
          <w:tcPr>
            <w:tcW w:w="984" w:type="dxa"/>
            <w:shd w:val="clear" w:color="auto" w:fill="FFFFFF"/>
          </w:tcPr>
          <w:p w14:paraId="7527CC14" w14:textId="77777777" w:rsidR="00EE77EA" w:rsidRPr="00EE77EA" w:rsidRDefault="00EE77EA" w:rsidP="009F5DFD">
            <w:pPr>
              <w:jc w:val="center"/>
              <w:rPr>
                <w:rFonts w:ascii="Times New Roman" w:eastAsia="Times New Roman" w:hAnsi="Times New Roman" w:cs="Times New Roman"/>
                <w:b/>
                <w:bCs/>
                <w:sz w:val="20"/>
                <w:szCs w:val="20"/>
              </w:rPr>
            </w:pPr>
          </w:p>
          <w:p w14:paraId="12CD24B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53.80</w:t>
            </w:r>
          </w:p>
          <w:p w14:paraId="63052C8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46.20</w:t>
            </w:r>
          </w:p>
        </w:tc>
        <w:tc>
          <w:tcPr>
            <w:tcW w:w="1106" w:type="dxa"/>
            <w:shd w:val="clear" w:color="auto" w:fill="FFFFFF"/>
          </w:tcPr>
          <w:p w14:paraId="58895662" w14:textId="77777777" w:rsidR="00EE77EA" w:rsidRPr="00EE77EA" w:rsidRDefault="00EE77EA" w:rsidP="009F5DFD">
            <w:pPr>
              <w:jc w:val="center"/>
              <w:rPr>
                <w:rFonts w:ascii="Times New Roman" w:eastAsia="Times New Roman" w:hAnsi="Times New Roman" w:cs="Times New Roman"/>
                <w:b/>
                <w:bCs/>
                <w:sz w:val="20"/>
                <w:szCs w:val="20"/>
              </w:rPr>
            </w:pPr>
          </w:p>
          <w:p w14:paraId="27C3E1A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0.3335</w:t>
            </w:r>
          </w:p>
        </w:tc>
      </w:tr>
      <w:tr w:rsidR="00EE77EA" w:rsidRPr="00EE77EA" w14:paraId="43ED25E0" w14:textId="77777777" w:rsidTr="009F5DFD">
        <w:trPr>
          <w:trHeight w:val="447"/>
        </w:trPr>
        <w:tc>
          <w:tcPr>
            <w:tcW w:w="1418" w:type="dxa"/>
          </w:tcPr>
          <w:p w14:paraId="5F5E5754" w14:textId="77777777" w:rsidR="00EE77EA" w:rsidRPr="00EE77EA" w:rsidRDefault="00EE77EA" w:rsidP="00961EFA">
            <w:pP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Escolaridade</w:t>
            </w:r>
          </w:p>
          <w:p w14:paraId="41490FC7"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Fundamental</w:t>
            </w:r>
          </w:p>
          <w:p w14:paraId="2AEF0C1A"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Médio</w:t>
            </w:r>
          </w:p>
          <w:p w14:paraId="2FB00DE0"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Superior</w:t>
            </w:r>
          </w:p>
          <w:p w14:paraId="10110858"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NI</w:t>
            </w:r>
          </w:p>
          <w:p w14:paraId="7879D3C2" w14:textId="77777777" w:rsidR="00EE77EA" w:rsidRPr="00EE77EA" w:rsidRDefault="00EE77EA" w:rsidP="00961EFA">
            <w:pPr>
              <w:rPr>
                <w:rFonts w:ascii="Times New Roman" w:eastAsia="Times New Roman" w:hAnsi="Times New Roman" w:cs="Times New Roman"/>
                <w:b/>
                <w:bCs/>
                <w:sz w:val="20"/>
                <w:szCs w:val="20"/>
              </w:rPr>
            </w:pPr>
          </w:p>
        </w:tc>
        <w:tc>
          <w:tcPr>
            <w:tcW w:w="811" w:type="dxa"/>
          </w:tcPr>
          <w:p w14:paraId="74BDB7BA" w14:textId="77777777" w:rsidR="00EE77EA" w:rsidRPr="00EE77EA" w:rsidRDefault="00EE77EA" w:rsidP="009F5DFD">
            <w:pPr>
              <w:jc w:val="center"/>
              <w:rPr>
                <w:rFonts w:ascii="Times New Roman" w:eastAsia="Times New Roman" w:hAnsi="Times New Roman" w:cs="Times New Roman"/>
                <w:sz w:val="20"/>
                <w:szCs w:val="20"/>
              </w:rPr>
            </w:pPr>
          </w:p>
          <w:p w14:paraId="2D3E5D5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31</w:t>
            </w:r>
          </w:p>
          <w:p w14:paraId="4C8EEB4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9</w:t>
            </w:r>
          </w:p>
          <w:p w14:paraId="21E4F07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w:t>
            </w:r>
          </w:p>
          <w:p w14:paraId="66EAC24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28</w:t>
            </w:r>
          </w:p>
        </w:tc>
        <w:tc>
          <w:tcPr>
            <w:tcW w:w="767" w:type="dxa"/>
          </w:tcPr>
          <w:p w14:paraId="572AFF18" w14:textId="77777777" w:rsidR="00EE77EA" w:rsidRPr="00EE77EA" w:rsidRDefault="00EE77EA" w:rsidP="009F5DFD">
            <w:pPr>
              <w:jc w:val="center"/>
              <w:rPr>
                <w:rFonts w:ascii="Times New Roman" w:eastAsia="Times New Roman" w:hAnsi="Times New Roman" w:cs="Times New Roman"/>
                <w:sz w:val="20"/>
                <w:szCs w:val="20"/>
              </w:rPr>
            </w:pPr>
          </w:p>
          <w:p w14:paraId="2789208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43.66</w:t>
            </w:r>
          </w:p>
          <w:p w14:paraId="52B08DB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12.68</w:t>
            </w:r>
          </w:p>
          <w:p w14:paraId="5A3A713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4.22</w:t>
            </w:r>
          </w:p>
          <w:p w14:paraId="0F151D0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39.44</w:t>
            </w:r>
          </w:p>
        </w:tc>
        <w:tc>
          <w:tcPr>
            <w:tcW w:w="770" w:type="dxa"/>
          </w:tcPr>
          <w:p w14:paraId="38064551" w14:textId="77777777" w:rsidR="00EE77EA" w:rsidRPr="00EE77EA" w:rsidRDefault="00EE77EA" w:rsidP="009F5DFD">
            <w:pPr>
              <w:jc w:val="center"/>
              <w:rPr>
                <w:rFonts w:ascii="Times New Roman" w:eastAsia="Times New Roman" w:hAnsi="Times New Roman" w:cs="Times New Roman"/>
                <w:b/>
                <w:bCs/>
                <w:sz w:val="20"/>
                <w:szCs w:val="20"/>
              </w:rPr>
            </w:pPr>
          </w:p>
          <w:p w14:paraId="639E16B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49</w:t>
            </w:r>
          </w:p>
          <w:p w14:paraId="42DAE9C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16</w:t>
            </w:r>
          </w:p>
          <w:p w14:paraId="6346B1E8"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w:t>
            </w:r>
          </w:p>
          <w:p w14:paraId="2A2409D8"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sz w:val="20"/>
                <w:szCs w:val="20"/>
              </w:rPr>
              <w:t>64</w:t>
            </w:r>
          </w:p>
        </w:tc>
        <w:tc>
          <w:tcPr>
            <w:tcW w:w="838" w:type="dxa"/>
          </w:tcPr>
          <w:p w14:paraId="439A60E9" w14:textId="77777777" w:rsidR="00EE77EA" w:rsidRPr="00EE77EA" w:rsidRDefault="00EE77EA" w:rsidP="009F5DFD">
            <w:pPr>
              <w:jc w:val="center"/>
              <w:rPr>
                <w:rFonts w:ascii="Times New Roman" w:eastAsia="Times New Roman" w:hAnsi="Times New Roman" w:cs="Times New Roman"/>
                <w:sz w:val="20"/>
                <w:szCs w:val="20"/>
              </w:rPr>
            </w:pPr>
          </w:p>
          <w:p w14:paraId="1484A26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36.30</w:t>
            </w:r>
          </w:p>
          <w:p w14:paraId="3F567E5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11.85</w:t>
            </w:r>
          </w:p>
          <w:p w14:paraId="7439A94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2.96</w:t>
            </w:r>
          </w:p>
          <w:p w14:paraId="63208C58"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47.41</w:t>
            </w:r>
          </w:p>
        </w:tc>
        <w:tc>
          <w:tcPr>
            <w:tcW w:w="698" w:type="dxa"/>
          </w:tcPr>
          <w:p w14:paraId="72B4ED99" w14:textId="77777777" w:rsidR="00EE77EA" w:rsidRPr="00EE77EA" w:rsidRDefault="00EE77EA" w:rsidP="009F5DFD">
            <w:pPr>
              <w:jc w:val="center"/>
              <w:rPr>
                <w:rFonts w:ascii="Times New Roman" w:eastAsia="Times New Roman" w:hAnsi="Times New Roman" w:cs="Times New Roman"/>
                <w:b/>
                <w:bCs/>
                <w:sz w:val="20"/>
                <w:szCs w:val="20"/>
              </w:rPr>
            </w:pPr>
          </w:p>
          <w:p w14:paraId="220BFA6C"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w:t>
            </w:r>
          </w:p>
          <w:p w14:paraId="4092D42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5BE2C57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w:t>
            </w:r>
          </w:p>
          <w:p w14:paraId="25BE87DA"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sz w:val="20"/>
                <w:szCs w:val="20"/>
              </w:rPr>
              <w:t>3</w:t>
            </w:r>
          </w:p>
        </w:tc>
        <w:tc>
          <w:tcPr>
            <w:tcW w:w="691" w:type="dxa"/>
          </w:tcPr>
          <w:p w14:paraId="196E8852" w14:textId="77777777" w:rsidR="00EE77EA" w:rsidRPr="00EE77EA" w:rsidRDefault="00EE77EA" w:rsidP="009F5DFD">
            <w:pPr>
              <w:jc w:val="center"/>
              <w:rPr>
                <w:rFonts w:ascii="Times New Roman" w:eastAsia="Times New Roman" w:hAnsi="Times New Roman" w:cs="Times New Roman"/>
                <w:b/>
                <w:bCs/>
                <w:sz w:val="20"/>
                <w:szCs w:val="20"/>
              </w:rPr>
            </w:pPr>
          </w:p>
          <w:p w14:paraId="4070684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33.33</w:t>
            </w:r>
          </w:p>
          <w:p w14:paraId="335CAE3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0593CEE5"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16.67</w:t>
            </w:r>
          </w:p>
          <w:p w14:paraId="1274DE0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50.00</w:t>
            </w:r>
          </w:p>
        </w:tc>
        <w:tc>
          <w:tcPr>
            <w:tcW w:w="706" w:type="dxa"/>
          </w:tcPr>
          <w:p w14:paraId="2876FDFA" w14:textId="77777777" w:rsidR="00EE77EA" w:rsidRPr="00EE77EA" w:rsidRDefault="00EE77EA" w:rsidP="009F5DFD">
            <w:pPr>
              <w:jc w:val="center"/>
              <w:rPr>
                <w:rFonts w:ascii="Times New Roman" w:eastAsia="Times New Roman" w:hAnsi="Times New Roman" w:cs="Times New Roman"/>
                <w:b/>
                <w:bCs/>
                <w:sz w:val="20"/>
                <w:szCs w:val="20"/>
              </w:rPr>
            </w:pPr>
          </w:p>
          <w:p w14:paraId="77FA1936"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82</w:t>
            </w:r>
          </w:p>
          <w:p w14:paraId="50A6321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25</w:t>
            </w:r>
          </w:p>
          <w:p w14:paraId="12DB7CFC"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w:t>
            </w:r>
          </w:p>
          <w:p w14:paraId="09569BFA"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95</w:t>
            </w:r>
          </w:p>
        </w:tc>
        <w:tc>
          <w:tcPr>
            <w:tcW w:w="984" w:type="dxa"/>
          </w:tcPr>
          <w:p w14:paraId="5AAA83C9" w14:textId="77777777" w:rsidR="00EE77EA" w:rsidRPr="00EE77EA" w:rsidRDefault="00EE77EA" w:rsidP="009F5DFD">
            <w:pPr>
              <w:jc w:val="center"/>
              <w:rPr>
                <w:rFonts w:ascii="Times New Roman" w:eastAsia="Times New Roman" w:hAnsi="Times New Roman" w:cs="Times New Roman"/>
                <w:b/>
                <w:bCs/>
                <w:sz w:val="20"/>
                <w:szCs w:val="20"/>
              </w:rPr>
            </w:pPr>
          </w:p>
          <w:p w14:paraId="5A8E982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39.05</w:t>
            </w:r>
          </w:p>
          <w:p w14:paraId="2B70CE3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11.90</w:t>
            </w:r>
          </w:p>
          <w:p w14:paraId="21A4D67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3.80</w:t>
            </w:r>
          </w:p>
          <w:p w14:paraId="4BC4B16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45.24</w:t>
            </w:r>
          </w:p>
        </w:tc>
        <w:tc>
          <w:tcPr>
            <w:tcW w:w="1106" w:type="dxa"/>
          </w:tcPr>
          <w:p w14:paraId="53D6A744" w14:textId="77777777" w:rsidR="00EE77EA" w:rsidRPr="00EE77EA" w:rsidRDefault="00EE77EA" w:rsidP="009F5DFD">
            <w:pPr>
              <w:jc w:val="center"/>
              <w:rPr>
                <w:rFonts w:ascii="Times New Roman" w:eastAsia="Times New Roman" w:hAnsi="Times New Roman" w:cs="Times New Roman"/>
                <w:b/>
                <w:bCs/>
                <w:sz w:val="20"/>
                <w:szCs w:val="20"/>
              </w:rPr>
            </w:pPr>
          </w:p>
          <w:p w14:paraId="6CDBB64A"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sz w:val="20"/>
                <w:szCs w:val="20"/>
              </w:rPr>
              <w:t>0.5416</w:t>
            </w:r>
          </w:p>
        </w:tc>
      </w:tr>
      <w:tr w:rsidR="009F5DFD" w:rsidRPr="00EE77EA" w14:paraId="169BFBF3" w14:textId="77777777" w:rsidTr="009F5DFD">
        <w:trPr>
          <w:cnfStyle w:val="000000100000" w:firstRow="0" w:lastRow="0" w:firstColumn="0" w:lastColumn="0" w:oddVBand="0" w:evenVBand="0" w:oddHBand="1" w:evenHBand="0" w:firstRowFirstColumn="0" w:firstRowLastColumn="0" w:lastRowFirstColumn="0" w:lastRowLastColumn="0"/>
          <w:trHeight w:val="447"/>
        </w:trPr>
        <w:tc>
          <w:tcPr>
            <w:tcW w:w="1418" w:type="dxa"/>
            <w:shd w:val="clear" w:color="auto" w:fill="FFFFFF"/>
          </w:tcPr>
          <w:p w14:paraId="7BD2D8EA" w14:textId="77777777" w:rsidR="00EE77EA" w:rsidRPr="00EE77EA" w:rsidRDefault="00EE77EA" w:rsidP="00961EFA">
            <w:pP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Idade</w:t>
            </w:r>
          </w:p>
          <w:p w14:paraId="62D88157"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0-9</w:t>
            </w:r>
          </w:p>
          <w:p w14:paraId="26E6DC05"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10-19</w:t>
            </w:r>
          </w:p>
          <w:p w14:paraId="01937780"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20-29</w:t>
            </w:r>
          </w:p>
          <w:p w14:paraId="115C0826"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30-39</w:t>
            </w:r>
          </w:p>
          <w:p w14:paraId="12B15873"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40-49</w:t>
            </w:r>
          </w:p>
          <w:p w14:paraId="389AED10"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50-59</w:t>
            </w:r>
          </w:p>
          <w:p w14:paraId="2A854044"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60&gt;</w:t>
            </w:r>
          </w:p>
          <w:p w14:paraId="54FF2A66" w14:textId="77777777" w:rsidR="00EE77EA" w:rsidRPr="00EE77EA" w:rsidRDefault="00EE77EA" w:rsidP="00961EFA">
            <w:pPr>
              <w:rPr>
                <w:rFonts w:ascii="Times New Roman" w:eastAsia="Times New Roman" w:hAnsi="Times New Roman" w:cs="Times New Roman"/>
                <w:sz w:val="20"/>
                <w:szCs w:val="20"/>
              </w:rPr>
            </w:pPr>
          </w:p>
        </w:tc>
        <w:tc>
          <w:tcPr>
            <w:tcW w:w="811" w:type="dxa"/>
            <w:shd w:val="clear" w:color="auto" w:fill="FFFFFF"/>
          </w:tcPr>
          <w:p w14:paraId="5C0A5FA6" w14:textId="77777777" w:rsidR="00EE77EA" w:rsidRPr="00EE77EA" w:rsidRDefault="00EE77EA" w:rsidP="009F5DFD">
            <w:pPr>
              <w:jc w:val="center"/>
              <w:rPr>
                <w:rFonts w:ascii="Times New Roman" w:eastAsia="Times New Roman" w:hAnsi="Times New Roman" w:cs="Times New Roman"/>
                <w:sz w:val="20"/>
                <w:szCs w:val="20"/>
              </w:rPr>
            </w:pPr>
          </w:p>
          <w:p w14:paraId="15043FE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w:t>
            </w:r>
          </w:p>
          <w:p w14:paraId="5F14E15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w:t>
            </w:r>
          </w:p>
          <w:p w14:paraId="3F152DE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w:t>
            </w:r>
          </w:p>
          <w:p w14:paraId="2A8DECD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12</w:t>
            </w:r>
          </w:p>
          <w:p w14:paraId="21C33D8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18</w:t>
            </w:r>
          </w:p>
          <w:p w14:paraId="5A1D67CC"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21</w:t>
            </w:r>
          </w:p>
          <w:p w14:paraId="3523D69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9</w:t>
            </w:r>
          </w:p>
        </w:tc>
        <w:tc>
          <w:tcPr>
            <w:tcW w:w="767" w:type="dxa"/>
            <w:shd w:val="clear" w:color="auto" w:fill="FFFFFF"/>
          </w:tcPr>
          <w:p w14:paraId="3AEB9A99" w14:textId="77777777" w:rsidR="00EE77EA" w:rsidRPr="00EE77EA" w:rsidRDefault="00EE77EA" w:rsidP="009F5DFD">
            <w:pPr>
              <w:jc w:val="center"/>
              <w:rPr>
                <w:rFonts w:ascii="Times New Roman" w:eastAsia="Times New Roman" w:hAnsi="Times New Roman" w:cs="Times New Roman"/>
                <w:sz w:val="20"/>
                <w:szCs w:val="20"/>
              </w:rPr>
            </w:pPr>
          </w:p>
          <w:p w14:paraId="7B96A736"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1.41</w:t>
            </w:r>
          </w:p>
          <w:p w14:paraId="5D99B555"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7.04</w:t>
            </w:r>
          </w:p>
          <w:p w14:paraId="6CCE5B5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7.04</w:t>
            </w:r>
          </w:p>
          <w:p w14:paraId="4391F94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16.90</w:t>
            </w:r>
          </w:p>
          <w:p w14:paraId="52161F3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25.35</w:t>
            </w:r>
          </w:p>
          <w:p w14:paraId="35B97BA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29.58</w:t>
            </w:r>
          </w:p>
          <w:p w14:paraId="27CA296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12.68</w:t>
            </w:r>
          </w:p>
        </w:tc>
        <w:tc>
          <w:tcPr>
            <w:tcW w:w="770" w:type="dxa"/>
            <w:shd w:val="clear" w:color="auto" w:fill="FFFFFF"/>
          </w:tcPr>
          <w:p w14:paraId="11A37644" w14:textId="77777777" w:rsidR="00EE77EA" w:rsidRPr="00EE77EA" w:rsidRDefault="00EE77EA" w:rsidP="009F5DFD">
            <w:pPr>
              <w:jc w:val="center"/>
              <w:rPr>
                <w:rFonts w:ascii="Times New Roman" w:eastAsia="Times New Roman" w:hAnsi="Times New Roman" w:cs="Times New Roman"/>
                <w:sz w:val="20"/>
                <w:szCs w:val="20"/>
              </w:rPr>
            </w:pPr>
          </w:p>
          <w:p w14:paraId="46FCCF5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6BAC199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445FC5B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6</w:t>
            </w:r>
          </w:p>
          <w:p w14:paraId="29321A4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28</w:t>
            </w:r>
          </w:p>
          <w:p w14:paraId="0226491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51</w:t>
            </w:r>
          </w:p>
          <w:p w14:paraId="11CDEB05"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27</w:t>
            </w:r>
          </w:p>
          <w:p w14:paraId="23BDCA2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21</w:t>
            </w:r>
          </w:p>
        </w:tc>
        <w:tc>
          <w:tcPr>
            <w:tcW w:w="838" w:type="dxa"/>
            <w:shd w:val="clear" w:color="auto" w:fill="FFFFFF"/>
          </w:tcPr>
          <w:p w14:paraId="43001E04" w14:textId="77777777" w:rsidR="00EE77EA" w:rsidRPr="00EE77EA" w:rsidRDefault="00EE77EA" w:rsidP="009F5DFD">
            <w:pPr>
              <w:jc w:val="center"/>
              <w:rPr>
                <w:rFonts w:ascii="Times New Roman" w:eastAsia="Times New Roman" w:hAnsi="Times New Roman" w:cs="Times New Roman"/>
                <w:sz w:val="20"/>
                <w:szCs w:val="20"/>
              </w:rPr>
            </w:pPr>
          </w:p>
          <w:p w14:paraId="768C6AF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03F0C56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46D1A61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4.51</w:t>
            </w:r>
          </w:p>
          <w:p w14:paraId="73DE41A8"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21.05</w:t>
            </w:r>
          </w:p>
          <w:p w14:paraId="3089C0C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38.35</w:t>
            </w:r>
          </w:p>
          <w:p w14:paraId="2FB601D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20.30</w:t>
            </w:r>
          </w:p>
          <w:p w14:paraId="747163A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15.79</w:t>
            </w:r>
          </w:p>
        </w:tc>
        <w:tc>
          <w:tcPr>
            <w:tcW w:w="698" w:type="dxa"/>
            <w:shd w:val="clear" w:color="auto" w:fill="FFFFFF"/>
          </w:tcPr>
          <w:p w14:paraId="3D07FF1D" w14:textId="77777777" w:rsidR="00EE77EA" w:rsidRPr="00EE77EA" w:rsidRDefault="00EE77EA" w:rsidP="009F5DFD">
            <w:pPr>
              <w:jc w:val="center"/>
              <w:rPr>
                <w:rFonts w:ascii="Times New Roman" w:eastAsia="Times New Roman" w:hAnsi="Times New Roman" w:cs="Times New Roman"/>
                <w:sz w:val="20"/>
                <w:szCs w:val="20"/>
              </w:rPr>
            </w:pPr>
          </w:p>
          <w:p w14:paraId="76D2DD7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12870795"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613AA19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2155FC1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w:t>
            </w:r>
          </w:p>
          <w:p w14:paraId="7AB5D1B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w:t>
            </w:r>
          </w:p>
          <w:p w14:paraId="2C3AD92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w:t>
            </w:r>
          </w:p>
          <w:p w14:paraId="68AA9E0A"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tc>
        <w:tc>
          <w:tcPr>
            <w:tcW w:w="691" w:type="dxa"/>
            <w:shd w:val="clear" w:color="auto" w:fill="FFFFFF"/>
          </w:tcPr>
          <w:p w14:paraId="747DC7C9" w14:textId="77777777" w:rsidR="00EE77EA" w:rsidRPr="00EE77EA" w:rsidRDefault="00EE77EA" w:rsidP="009F5DFD">
            <w:pPr>
              <w:jc w:val="center"/>
              <w:rPr>
                <w:rFonts w:ascii="Times New Roman" w:eastAsia="Times New Roman" w:hAnsi="Times New Roman" w:cs="Times New Roman"/>
                <w:sz w:val="20"/>
                <w:szCs w:val="20"/>
              </w:rPr>
            </w:pPr>
          </w:p>
          <w:p w14:paraId="1866684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2BBB21D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450D275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24AB1B56"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33.33</w:t>
            </w:r>
          </w:p>
          <w:p w14:paraId="534466D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33.33</w:t>
            </w:r>
          </w:p>
          <w:p w14:paraId="022A339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33.33</w:t>
            </w:r>
          </w:p>
          <w:p w14:paraId="280976B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tc>
        <w:tc>
          <w:tcPr>
            <w:tcW w:w="706" w:type="dxa"/>
            <w:shd w:val="clear" w:color="auto" w:fill="FFFFFF"/>
          </w:tcPr>
          <w:p w14:paraId="0E1BAB3E" w14:textId="77777777" w:rsidR="00EE77EA" w:rsidRPr="00EE77EA" w:rsidRDefault="00EE77EA" w:rsidP="009F5DFD">
            <w:pPr>
              <w:jc w:val="center"/>
              <w:rPr>
                <w:rFonts w:ascii="Times New Roman" w:eastAsia="Times New Roman" w:hAnsi="Times New Roman" w:cs="Times New Roman"/>
                <w:sz w:val="20"/>
                <w:szCs w:val="20"/>
              </w:rPr>
            </w:pPr>
          </w:p>
          <w:p w14:paraId="5685177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w:t>
            </w:r>
          </w:p>
          <w:p w14:paraId="4AE1A43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w:t>
            </w:r>
          </w:p>
          <w:p w14:paraId="4D66B5F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11</w:t>
            </w:r>
          </w:p>
          <w:p w14:paraId="785F9D98"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42</w:t>
            </w:r>
          </w:p>
          <w:p w14:paraId="072DBA65"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71</w:t>
            </w:r>
          </w:p>
          <w:p w14:paraId="0054770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50</w:t>
            </w:r>
          </w:p>
          <w:p w14:paraId="436631B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30</w:t>
            </w:r>
          </w:p>
        </w:tc>
        <w:tc>
          <w:tcPr>
            <w:tcW w:w="984" w:type="dxa"/>
            <w:shd w:val="clear" w:color="auto" w:fill="FFFFFF"/>
          </w:tcPr>
          <w:p w14:paraId="428CFBFD" w14:textId="77777777" w:rsidR="00EE77EA" w:rsidRPr="00EE77EA" w:rsidRDefault="00EE77EA" w:rsidP="009F5DFD">
            <w:pPr>
              <w:jc w:val="center"/>
              <w:rPr>
                <w:rFonts w:ascii="Times New Roman" w:eastAsia="Times New Roman" w:hAnsi="Times New Roman" w:cs="Times New Roman"/>
                <w:sz w:val="20"/>
                <w:szCs w:val="20"/>
              </w:rPr>
            </w:pPr>
          </w:p>
          <w:p w14:paraId="35ABF2FA"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0.47</w:t>
            </w:r>
          </w:p>
          <w:p w14:paraId="2095210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2.38</w:t>
            </w:r>
          </w:p>
          <w:p w14:paraId="1421234C"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5.12</w:t>
            </w:r>
          </w:p>
          <w:p w14:paraId="5653E9F5"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20.00</w:t>
            </w:r>
          </w:p>
          <w:p w14:paraId="6C43438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33.81</w:t>
            </w:r>
          </w:p>
          <w:p w14:paraId="6B83797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23.81</w:t>
            </w:r>
          </w:p>
          <w:p w14:paraId="2DD7FD8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14.28</w:t>
            </w:r>
          </w:p>
        </w:tc>
        <w:tc>
          <w:tcPr>
            <w:tcW w:w="1106" w:type="dxa"/>
            <w:shd w:val="clear" w:color="auto" w:fill="FFFFFF"/>
          </w:tcPr>
          <w:p w14:paraId="52263DDF" w14:textId="77777777" w:rsidR="00EE77EA" w:rsidRPr="00EE77EA" w:rsidRDefault="00EE77EA" w:rsidP="009F5DFD">
            <w:pPr>
              <w:jc w:val="center"/>
              <w:rPr>
                <w:rFonts w:ascii="Times New Roman" w:eastAsia="Times New Roman" w:hAnsi="Times New Roman" w:cs="Times New Roman"/>
                <w:b/>
                <w:bCs/>
                <w:sz w:val="20"/>
                <w:szCs w:val="20"/>
              </w:rPr>
            </w:pPr>
          </w:p>
          <w:p w14:paraId="20206A55" w14:textId="77777777" w:rsidR="00EE77EA" w:rsidRPr="00EE77EA" w:rsidRDefault="00EE77EA" w:rsidP="009F5DFD">
            <w:pPr>
              <w:jc w:val="center"/>
              <w:rPr>
                <w:rFonts w:ascii="Times New Roman" w:eastAsia="Times New Roman" w:hAnsi="Times New Roman" w:cs="Times New Roman"/>
                <w:b/>
                <w:bCs/>
                <w:sz w:val="20"/>
                <w:szCs w:val="20"/>
              </w:rPr>
            </w:pPr>
            <w:r w:rsidRPr="00EE77EA">
              <w:rPr>
                <w:rFonts w:ascii="Times New Roman" w:eastAsia="Times New Roman" w:hAnsi="Times New Roman" w:cs="Times New Roman"/>
                <w:sz w:val="20"/>
                <w:szCs w:val="20"/>
              </w:rPr>
              <w:t>0.0885</w:t>
            </w:r>
          </w:p>
        </w:tc>
      </w:tr>
      <w:tr w:rsidR="00EE77EA" w:rsidRPr="00EE77EA" w14:paraId="742A2408" w14:textId="77777777" w:rsidTr="009F5DFD">
        <w:trPr>
          <w:trHeight w:val="1278"/>
        </w:trPr>
        <w:tc>
          <w:tcPr>
            <w:tcW w:w="1418" w:type="dxa"/>
          </w:tcPr>
          <w:p w14:paraId="791D4E2C" w14:textId="77777777" w:rsidR="00EE77EA" w:rsidRPr="00EE77EA" w:rsidRDefault="00EE77EA" w:rsidP="00961EFA">
            <w:pPr>
              <w:rPr>
                <w:rFonts w:ascii="Times New Roman" w:eastAsia="Times New Roman" w:hAnsi="Times New Roman" w:cs="Times New Roman"/>
                <w:b/>
                <w:bCs/>
                <w:sz w:val="20"/>
                <w:szCs w:val="20"/>
              </w:rPr>
            </w:pPr>
            <w:r w:rsidRPr="00EE77EA">
              <w:rPr>
                <w:rFonts w:ascii="Times New Roman" w:eastAsia="Times New Roman" w:hAnsi="Times New Roman" w:cs="Times New Roman"/>
                <w:b/>
                <w:bCs/>
                <w:sz w:val="20"/>
                <w:szCs w:val="20"/>
              </w:rPr>
              <w:t>ISTs</w:t>
            </w:r>
          </w:p>
          <w:p w14:paraId="744CF753"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HIV</w:t>
            </w:r>
          </w:p>
          <w:p w14:paraId="47B92968"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HIV+ Outra IST</w:t>
            </w:r>
          </w:p>
          <w:p w14:paraId="2576572B"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Outra IST</w:t>
            </w:r>
          </w:p>
          <w:p w14:paraId="47FAE509"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Nenhuma IST</w:t>
            </w:r>
          </w:p>
          <w:p w14:paraId="7F3170FE" w14:textId="77777777" w:rsidR="00EE77EA" w:rsidRPr="00EE77EA" w:rsidRDefault="00EE77EA" w:rsidP="00961EFA">
            <w:pP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Não Informado</w:t>
            </w:r>
          </w:p>
        </w:tc>
        <w:tc>
          <w:tcPr>
            <w:tcW w:w="811" w:type="dxa"/>
          </w:tcPr>
          <w:p w14:paraId="26C8C19A" w14:textId="77777777" w:rsidR="00EE77EA" w:rsidRPr="00EE77EA" w:rsidRDefault="00EE77EA" w:rsidP="009F5DFD">
            <w:pPr>
              <w:jc w:val="center"/>
              <w:rPr>
                <w:rFonts w:ascii="Times New Roman" w:eastAsia="Times New Roman" w:hAnsi="Times New Roman" w:cs="Times New Roman"/>
                <w:sz w:val="20"/>
                <w:szCs w:val="20"/>
              </w:rPr>
            </w:pPr>
          </w:p>
          <w:p w14:paraId="7EB7F83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w:t>
            </w:r>
          </w:p>
          <w:p w14:paraId="72B9B2C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590BD4F4"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w:t>
            </w:r>
          </w:p>
          <w:p w14:paraId="35F5870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61</w:t>
            </w:r>
          </w:p>
          <w:p w14:paraId="274B0BF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6</w:t>
            </w:r>
          </w:p>
        </w:tc>
        <w:tc>
          <w:tcPr>
            <w:tcW w:w="767" w:type="dxa"/>
          </w:tcPr>
          <w:p w14:paraId="0515C697" w14:textId="77777777" w:rsidR="00EE77EA" w:rsidRPr="00EE77EA" w:rsidRDefault="00EE77EA" w:rsidP="009F5DFD">
            <w:pPr>
              <w:jc w:val="center"/>
              <w:rPr>
                <w:rFonts w:ascii="Times New Roman" w:eastAsia="Times New Roman" w:hAnsi="Times New Roman" w:cs="Times New Roman"/>
                <w:sz w:val="20"/>
                <w:szCs w:val="20"/>
              </w:rPr>
            </w:pPr>
          </w:p>
          <w:p w14:paraId="2F703E83"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6.85</w:t>
            </w:r>
          </w:p>
          <w:p w14:paraId="001AEF2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24554A3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1.37</w:t>
            </w:r>
          </w:p>
          <w:p w14:paraId="770BF4E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83.56</w:t>
            </w:r>
          </w:p>
          <w:p w14:paraId="20BFCFA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8.22</w:t>
            </w:r>
          </w:p>
        </w:tc>
        <w:tc>
          <w:tcPr>
            <w:tcW w:w="770" w:type="dxa"/>
          </w:tcPr>
          <w:p w14:paraId="798E5CA2" w14:textId="77777777" w:rsidR="00EE77EA" w:rsidRPr="00EE77EA" w:rsidRDefault="00EE77EA" w:rsidP="009F5DFD">
            <w:pPr>
              <w:jc w:val="center"/>
              <w:rPr>
                <w:rFonts w:ascii="Times New Roman" w:eastAsia="Times New Roman" w:hAnsi="Times New Roman" w:cs="Times New Roman"/>
                <w:sz w:val="20"/>
                <w:szCs w:val="20"/>
              </w:rPr>
            </w:pPr>
          </w:p>
          <w:p w14:paraId="6584B5A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15</w:t>
            </w:r>
          </w:p>
          <w:p w14:paraId="2F3A8D6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w:t>
            </w:r>
          </w:p>
          <w:p w14:paraId="744EB2C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7</w:t>
            </w:r>
          </w:p>
          <w:p w14:paraId="0A2D75C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106</w:t>
            </w:r>
          </w:p>
          <w:p w14:paraId="0D0B318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w:t>
            </w:r>
          </w:p>
        </w:tc>
        <w:tc>
          <w:tcPr>
            <w:tcW w:w="838" w:type="dxa"/>
          </w:tcPr>
          <w:p w14:paraId="0177B54E" w14:textId="77777777" w:rsidR="00EE77EA" w:rsidRPr="00EE77EA" w:rsidRDefault="00EE77EA" w:rsidP="009F5DFD">
            <w:pPr>
              <w:jc w:val="center"/>
              <w:rPr>
                <w:rFonts w:ascii="Times New Roman" w:eastAsia="Times New Roman" w:hAnsi="Times New Roman" w:cs="Times New Roman"/>
                <w:sz w:val="20"/>
                <w:szCs w:val="20"/>
              </w:rPr>
            </w:pPr>
          </w:p>
          <w:p w14:paraId="687319B8"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11.45</w:t>
            </w:r>
          </w:p>
          <w:p w14:paraId="22AEA46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0.76</w:t>
            </w:r>
          </w:p>
          <w:p w14:paraId="20E4D7D6"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5.34</w:t>
            </w:r>
          </w:p>
          <w:p w14:paraId="0638E1D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80.92</w:t>
            </w:r>
          </w:p>
          <w:p w14:paraId="4F3DD32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1.53</w:t>
            </w:r>
          </w:p>
        </w:tc>
        <w:tc>
          <w:tcPr>
            <w:tcW w:w="698" w:type="dxa"/>
          </w:tcPr>
          <w:p w14:paraId="11DB0A71" w14:textId="77777777" w:rsidR="00EE77EA" w:rsidRPr="00EE77EA" w:rsidRDefault="00EE77EA" w:rsidP="009F5DFD">
            <w:pPr>
              <w:jc w:val="center"/>
              <w:rPr>
                <w:rFonts w:ascii="Times New Roman" w:eastAsia="Times New Roman" w:hAnsi="Times New Roman" w:cs="Times New Roman"/>
                <w:sz w:val="20"/>
                <w:szCs w:val="20"/>
              </w:rPr>
            </w:pPr>
          </w:p>
          <w:p w14:paraId="1B2C4128"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w:t>
            </w:r>
          </w:p>
          <w:p w14:paraId="0BCC668A"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3B8668CA"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p w14:paraId="2E6EF11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4</w:t>
            </w:r>
          </w:p>
          <w:p w14:paraId="7124B64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w:t>
            </w:r>
          </w:p>
        </w:tc>
        <w:tc>
          <w:tcPr>
            <w:tcW w:w="691" w:type="dxa"/>
          </w:tcPr>
          <w:p w14:paraId="2872C732" w14:textId="77777777" w:rsidR="00EE77EA" w:rsidRPr="00EE77EA" w:rsidRDefault="00EE77EA" w:rsidP="009F5DFD">
            <w:pPr>
              <w:jc w:val="center"/>
              <w:rPr>
                <w:rFonts w:ascii="Times New Roman" w:eastAsia="Times New Roman" w:hAnsi="Times New Roman" w:cs="Times New Roman"/>
                <w:b/>
                <w:bCs/>
                <w:sz w:val="20"/>
                <w:szCs w:val="20"/>
              </w:rPr>
            </w:pPr>
          </w:p>
          <w:p w14:paraId="5650A28D"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33.33</w:t>
            </w:r>
          </w:p>
          <w:p w14:paraId="6E78EFC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3094CA5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p w14:paraId="5722517A"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66.66</w:t>
            </w:r>
          </w:p>
          <w:p w14:paraId="5A9C9D2B"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0.00</w:t>
            </w:r>
          </w:p>
        </w:tc>
        <w:tc>
          <w:tcPr>
            <w:tcW w:w="706" w:type="dxa"/>
          </w:tcPr>
          <w:p w14:paraId="45467162" w14:textId="77777777" w:rsidR="00EE77EA" w:rsidRPr="00EE77EA" w:rsidRDefault="00EE77EA" w:rsidP="009F5DFD">
            <w:pPr>
              <w:jc w:val="center"/>
              <w:rPr>
                <w:rFonts w:ascii="Times New Roman" w:eastAsia="Times New Roman" w:hAnsi="Times New Roman" w:cs="Times New Roman"/>
                <w:sz w:val="20"/>
                <w:szCs w:val="20"/>
              </w:rPr>
            </w:pPr>
          </w:p>
          <w:p w14:paraId="3A78929F"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22</w:t>
            </w:r>
          </w:p>
          <w:p w14:paraId="3E9DA55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w:t>
            </w:r>
          </w:p>
          <w:p w14:paraId="40DC002C"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w:t>
            </w:r>
          </w:p>
          <w:p w14:paraId="52FF7977"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171</w:t>
            </w:r>
          </w:p>
          <w:p w14:paraId="2DE3B022"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w:t>
            </w:r>
          </w:p>
        </w:tc>
        <w:tc>
          <w:tcPr>
            <w:tcW w:w="984" w:type="dxa"/>
          </w:tcPr>
          <w:p w14:paraId="12E8E364" w14:textId="77777777" w:rsidR="00EE77EA" w:rsidRPr="00EE77EA" w:rsidRDefault="00EE77EA" w:rsidP="009F5DFD">
            <w:pPr>
              <w:jc w:val="center"/>
              <w:rPr>
                <w:rFonts w:ascii="Times New Roman" w:eastAsia="Times New Roman" w:hAnsi="Times New Roman" w:cs="Times New Roman"/>
                <w:sz w:val="20"/>
                <w:szCs w:val="20"/>
              </w:rPr>
            </w:pPr>
          </w:p>
          <w:p w14:paraId="0B684168"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10.48</w:t>
            </w:r>
          </w:p>
          <w:p w14:paraId="39A1F099"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0.48</w:t>
            </w:r>
          </w:p>
          <w:p w14:paraId="1497F1CE"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3.81</w:t>
            </w:r>
          </w:p>
          <w:p w14:paraId="2424259C"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81.43</w:t>
            </w:r>
          </w:p>
          <w:p w14:paraId="19C386E0"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3.81</w:t>
            </w:r>
          </w:p>
          <w:p w14:paraId="7D19F180" w14:textId="77777777" w:rsidR="00EE77EA" w:rsidRPr="00EE77EA" w:rsidRDefault="00EE77EA" w:rsidP="009F5DFD">
            <w:pPr>
              <w:jc w:val="center"/>
              <w:rPr>
                <w:rFonts w:ascii="Times New Roman" w:eastAsia="Times New Roman" w:hAnsi="Times New Roman" w:cs="Times New Roman"/>
                <w:sz w:val="20"/>
                <w:szCs w:val="20"/>
              </w:rPr>
            </w:pPr>
          </w:p>
        </w:tc>
        <w:tc>
          <w:tcPr>
            <w:tcW w:w="1106" w:type="dxa"/>
          </w:tcPr>
          <w:p w14:paraId="6752A931" w14:textId="77777777" w:rsidR="00EE77EA" w:rsidRPr="00EE77EA" w:rsidRDefault="00EE77EA" w:rsidP="009F5DFD">
            <w:pPr>
              <w:jc w:val="center"/>
              <w:rPr>
                <w:rFonts w:ascii="Times New Roman" w:eastAsia="Times New Roman" w:hAnsi="Times New Roman" w:cs="Times New Roman"/>
                <w:sz w:val="20"/>
                <w:szCs w:val="20"/>
              </w:rPr>
            </w:pPr>
          </w:p>
          <w:p w14:paraId="6931BA01" w14:textId="77777777" w:rsidR="00EE77EA" w:rsidRPr="00EE77EA" w:rsidRDefault="00EE77EA" w:rsidP="009F5DFD">
            <w:pPr>
              <w:jc w:val="center"/>
              <w:rPr>
                <w:rFonts w:ascii="Times New Roman" w:eastAsia="Times New Roman" w:hAnsi="Times New Roman" w:cs="Times New Roman"/>
                <w:sz w:val="20"/>
                <w:szCs w:val="20"/>
              </w:rPr>
            </w:pPr>
            <w:r w:rsidRPr="00EE77EA">
              <w:rPr>
                <w:rFonts w:ascii="Times New Roman" w:eastAsia="Times New Roman" w:hAnsi="Times New Roman" w:cs="Times New Roman"/>
                <w:sz w:val="20"/>
                <w:szCs w:val="20"/>
              </w:rPr>
              <w:t>0.1203</w:t>
            </w:r>
          </w:p>
          <w:p w14:paraId="33B9A636" w14:textId="77777777" w:rsidR="00EE77EA" w:rsidRPr="00EE77EA" w:rsidRDefault="00EE77EA" w:rsidP="009F5DFD">
            <w:pPr>
              <w:jc w:val="center"/>
              <w:rPr>
                <w:rFonts w:ascii="Times New Roman" w:eastAsia="Times New Roman" w:hAnsi="Times New Roman" w:cs="Times New Roman"/>
                <w:sz w:val="20"/>
                <w:szCs w:val="20"/>
              </w:rPr>
            </w:pPr>
          </w:p>
        </w:tc>
      </w:tr>
    </w:tbl>
    <w:p w14:paraId="0FB52C83" w14:textId="6FBB54A0" w:rsidR="00EE77EA" w:rsidRPr="009F5DFD" w:rsidRDefault="00EE77EA" w:rsidP="00EE77EA">
      <w:pPr>
        <w:spacing w:line="240" w:lineRule="auto"/>
        <w:jc w:val="both"/>
        <w:rPr>
          <w:rFonts w:ascii="Times New Roman" w:eastAsia="Times New Roman" w:hAnsi="Times New Roman" w:cs="Times New Roman"/>
          <w:sz w:val="20"/>
          <w:szCs w:val="20"/>
        </w:rPr>
      </w:pPr>
      <w:r w:rsidRPr="009F5DFD">
        <w:rPr>
          <w:rFonts w:ascii="Times New Roman" w:eastAsia="Times New Roman" w:hAnsi="Times New Roman" w:cs="Times New Roman"/>
          <w:sz w:val="20"/>
          <w:szCs w:val="20"/>
        </w:rPr>
        <w:t xml:space="preserve">N: número absoluto de casos; %: percentual em relação ao total de casos em cada grupo de hepatite. Os valores de </w:t>
      </w:r>
      <w:r w:rsidRPr="009F5DFD">
        <w:rPr>
          <w:rFonts w:ascii="Times New Roman" w:eastAsia="Times New Roman" w:hAnsi="Times New Roman" w:cs="Times New Roman"/>
          <w:i/>
          <w:iCs/>
          <w:sz w:val="20"/>
          <w:szCs w:val="20"/>
        </w:rPr>
        <w:t>P</w:t>
      </w:r>
      <w:r w:rsidRPr="009F5DFD">
        <w:rPr>
          <w:rFonts w:ascii="Times New Roman" w:eastAsia="Times New Roman" w:hAnsi="Times New Roman" w:cs="Times New Roman"/>
          <w:sz w:val="20"/>
          <w:szCs w:val="20"/>
        </w:rPr>
        <w:t xml:space="preserve"> referem-se à comparação entre os grupos de hepatite, utilizando o teste do Qui-quadrado de Pearson. Considerou-se nível de significância estatística de </w:t>
      </w:r>
      <w:r w:rsidRPr="009F5DFD">
        <w:rPr>
          <w:rFonts w:ascii="Times New Roman" w:eastAsia="Times New Roman" w:hAnsi="Times New Roman" w:cs="Times New Roman"/>
          <w:i/>
          <w:iCs/>
          <w:sz w:val="20"/>
          <w:szCs w:val="20"/>
        </w:rPr>
        <w:t>P</w:t>
      </w:r>
      <w:r w:rsidRPr="009F5DFD">
        <w:rPr>
          <w:rFonts w:ascii="Times New Roman" w:eastAsia="Gungsuh" w:hAnsi="Times New Roman" w:cs="Times New Roman"/>
          <w:sz w:val="20"/>
          <w:szCs w:val="20"/>
        </w:rPr>
        <w:t>≤0</w:t>
      </w:r>
      <w:r w:rsidR="00F231E1">
        <w:rPr>
          <w:rFonts w:ascii="Times New Roman" w:eastAsia="Gungsuh" w:hAnsi="Times New Roman" w:cs="Times New Roman"/>
          <w:sz w:val="20"/>
          <w:szCs w:val="20"/>
        </w:rPr>
        <w:t>.</w:t>
      </w:r>
      <w:r w:rsidRPr="009F5DFD">
        <w:rPr>
          <w:rFonts w:ascii="Times New Roman" w:eastAsia="Gungsuh" w:hAnsi="Times New Roman" w:cs="Times New Roman"/>
          <w:sz w:val="20"/>
          <w:szCs w:val="20"/>
        </w:rPr>
        <w:t>05.</w:t>
      </w:r>
    </w:p>
    <w:p w14:paraId="34795CC1" w14:textId="77777777" w:rsidR="00EE77EA" w:rsidRPr="00EE77EA" w:rsidRDefault="00EE77EA" w:rsidP="009F5DFD">
      <w:pPr>
        <w:spacing w:line="240" w:lineRule="auto"/>
        <w:rPr>
          <w:rFonts w:ascii="Times New Roman" w:eastAsia="Times New Roman" w:hAnsi="Times New Roman" w:cs="Times New Roman"/>
          <w:sz w:val="20"/>
          <w:szCs w:val="20"/>
        </w:rPr>
      </w:pPr>
    </w:p>
    <w:p w14:paraId="371A0EFF" w14:textId="47DC119F" w:rsidR="0037785B" w:rsidRDefault="0037785B" w:rsidP="00986CF6">
      <w:pPr>
        <w:spacing w:before="200" w:after="200" w:line="360" w:lineRule="auto"/>
        <w:ind w:firstLine="709"/>
        <w:jc w:val="both"/>
        <w:rPr>
          <w:rFonts w:ascii="Times New Roman" w:hAnsi="Times New Roman" w:cs="Times New Roman"/>
          <w:bCs/>
          <w:sz w:val="24"/>
          <w:szCs w:val="24"/>
        </w:rPr>
      </w:pPr>
      <w:r w:rsidRPr="0037785B">
        <w:rPr>
          <w:rFonts w:ascii="Times New Roman" w:hAnsi="Times New Roman" w:cs="Times New Roman"/>
          <w:bCs/>
          <w:sz w:val="24"/>
          <w:szCs w:val="24"/>
        </w:rPr>
        <w:t>Ao estratificar os casos pelo diagnóstico clínico, observou-se que as maiores frequências estão relacionadas a cronificação das infecções, com 27.81% para hepatite B e 54.76% para hepatite C (Gráfico 1). Já com relação a evolução dos casos confirmados de hepatites virais, ao final do período de acompanhamento do estudo, as hepatite</w:t>
      </w:r>
      <w:r>
        <w:rPr>
          <w:rFonts w:ascii="Times New Roman" w:hAnsi="Times New Roman" w:cs="Times New Roman"/>
          <w:bCs/>
          <w:sz w:val="24"/>
          <w:szCs w:val="24"/>
        </w:rPr>
        <w:t>s</w:t>
      </w:r>
      <w:r w:rsidRPr="0037785B">
        <w:rPr>
          <w:rFonts w:ascii="Times New Roman" w:hAnsi="Times New Roman" w:cs="Times New Roman"/>
          <w:bCs/>
          <w:sz w:val="24"/>
          <w:szCs w:val="24"/>
        </w:rPr>
        <w:t xml:space="preserve"> C aguda e crônica demonstraram as maiores frequências de pacientes curados, com cura </w:t>
      </w:r>
      <w:r w:rsidRPr="0037785B">
        <w:rPr>
          <w:rFonts w:ascii="Times New Roman" w:hAnsi="Times New Roman" w:cs="Times New Roman"/>
          <w:bCs/>
          <w:sz w:val="24"/>
          <w:szCs w:val="24"/>
        </w:rPr>
        <w:lastRenderedPageBreak/>
        <w:t>virológica de 55.55% e 43.75% 15 respectivamente. Enquanto isso, nos casos de hepatite B aguda e crônica, as maiores frequências foram encontradas em carga detectável, com 61.53% e 52.45% respectivamente. Nos casos de coinfecção, dos 6 casos confirmados, 50% tiveram resultado inconclusivo com relação a sua evolução (Gráfico 2). O valor de P igual a 0.064 indica que não ocorreu associação estatisticamente significativa entre o diagnóstico clínico dos casos e a evolução clínica durante o período de acompanhamento.</w:t>
      </w:r>
    </w:p>
    <w:p w14:paraId="774391F7" w14:textId="618C653B" w:rsidR="00986CF6" w:rsidRDefault="00986CF6" w:rsidP="0037785B">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A5B3F50" wp14:editId="7706DC5C">
            <wp:extent cx="4320000" cy="2596784"/>
            <wp:effectExtent l="19050" t="19050" r="23495" b="13335"/>
            <wp:docPr id="1092494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0000" cy="2596784"/>
                    </a:xfrm>
                    <a:prstGeom prst="rect">
                      <a:avLst/>
                    </a:prstGeom>
                    <a:noFill/>
                    <a:ln w="6350">
                      <a:solidFill>
                        <a:schemeClr val="bg1">
                          <a:lumMod val="85000"/>
                        </a:schemeClr>
                      </a:solidFill>
                    </a:ln>
                  </pic:spPr>
                </pic:pic>
              </a:graphicData>
            </a:graphic>
          </wp:inline>
        </w:drawing>
      </w:r>
    </w:p>
    <w:p w14:paraId="7DBE158A" w14:textId="77777777" w:rsidR="0037785B" w:rsidRPr="0037785B" w:rsidRDefault="0037785B" w:rsidP="009F5DFD">
      <w:pPr>
        <w:spacing w:line="240" w:lineRule="auto"/>
        <w:ind w:firstLine="709"/>
        <w:jc w:val="both"/>
        <w:rPr>
          <w:rFonts w:ascii="Times New Roman" w:eastAsia="Times New Roman" w:hAnsi="Times New Roman" w:cs="Times New Roman"/>
          <w:sz w:val="20"/>
          <w:szCs w:val="20"/>
        </w:rPr>
      </w:pPr>
      <w:r w:rsidRPr="0037785B">
        <w:rPr>
          <w:rFonts w:ascii="Times New Roman" w:eastAsia="Times New Roman" w:hAnsi="Times New Roman" w:cs="Times New Roman"/>
          <w:b/>
          <w:bCs/>
          <w:sz w:val="20"/>
          <w:szCs w:val="20"/>
        </w:rPr>
        <w:t xml:space="preserve">Gráfico 1. </w:t>
      </w:r>
      <w:r w:rsidRPr="0037785B">
        <w:rPr>
          <w:rFonts w:ascii="Times New Roman" w:eastAsia="Times New Roman" w:hAnsi="Times New Roman" w:cs="Times New Roman"/>
          <w:sz w:val="20"/>
          <w:szCs w:val="20"/>
        </w:rPr>
        <w:t>Distribuição dos casos de Hepatite B, Hepatite C e Coinfecção segundo laudo final, Osório-RS, entre 2003 e 2023.</w:t>
      </w:r>
    </w:p>
    <w:p w14:paraId="004D4539" w14:textId="77777777" w:rsidR="0037785B" w:rsidRDefault="0037785B" w:rsidP="0037785B">
      <w:pPr>
        <w:spacing w:line="240" w:lineRule="auto"/>
        <w:jc w:val="both"/>
        <w:rPr>
          <w:rFonts w:ascii="Times New Roman" w:eastAsia="Times New Roman" w:hAnsi="Times New Roman" w:cs="Times New Roman"/>
          <w:sz w:val="24"/>
          <w:szCs w:val="24"/>
        </w:rPr>
      </w:pPr>
    </w:p>
    <w:p w14:paraId="2F655960" w14:textId="363865D6" w:rsidR="0037785B" w:rsidRDefault="009F5DFD" w:rsidP="0037785B">
      <w:pPr>
        <w:spacing w:line="480" w:lineRule="auto"/>
        <w:jc w:val="center"/>
        <w:rPr>
          <w:rFonts w:ascii="Times New Roman" w:eastAsia="Times New Roman" w:hAnsi="Times New Roman" w:cs="Times New Roman"/>
          <w:sz w:val="24"/>
          <w:szCs w:val="24"/>
        </w:rPr>
      </w:pPr>
      <w:r>
        <w:rPr>
          <w:noProof/>
        </w:rPr>
        <w:drawing>
          <wp:inline distT="0" distB="0" distL="0" distR="0" wp14:anchorId="2CA79B02" wp14:editId="7035A89E">
            <wp:extent cx="5040000" cy="2743200"/>
            <wp:effectExtent l="0" t="0" r="8255" b="0"/>
            <wp:docPr id="94708973" name="Gráfico 1">
              <a:extLst xmlns:a="http://schemas.openxmlformats.org/drawingml/2006/main">
                <a:ext uri="{FF2B5EF4-FFF2-40B4-BE49-F238E27FC236}">
                  <a16:creationId xmlns:a16="http://schemas.microsoft.com/office/drawing/2014/main" id="{CBF42750-7458-2817-E15A-8F9C2FC011C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E227E28" w14:textId="77777777" w:rsidR="0037785B" w:rsidRPr="0037785B" w:rsidRDefault="0037785B" w:rsidP="009F5DFD">
      <w:pPr>
        <w:spacing w:line="240" w:lineRule="auto"/>
        <w:ind w:firstLine="709"/>
        <w:jc w:val="both"/>
        <w:rPr>
          <w:rFonts w:ascii="Times New Roman" w:eastAsia="Times New Roman" w:hAnsi="Times New Roman" w:cs="Times New Roman"/>
          <w:sz w:val="20"/>
          <w:szCs w:val="20"/>
        </w:rPr>
      </w:pPr>
      <w:r w:rsidRPr="0037785B">
        <w:rPr>
          <w:rFonts w:ascii="Times New Roman" w:eastAsia="Times New Roman" w:hAnsi="Times New Roman" w:cs="Times New Roman"/>
          <w:b/>
          <w:bCs/>
          <w:sz w:val="20"/>
          <w:szCs w:val="20"/>
        </w:rPr>
        <w:t xml:space="preserve">Gráfico 2. </w:t>
      </w:r>
      <w:r w:rsidRPr="0037785B">
        <w:rPr>
          <w:rFonts w:ascii="Times New Roman" w:eastAsia="Times New Roman" w:hAnsi="Times New Roman" w:cs="Times New Roman"/>
          <w:sz w:val="20"/>
          <w:szCs w:val="20"/>
        </w:rPr>
        <w:t>Distribuição dos casos de Hepatite B, Hepatite C e Coinfecção segundo diagnóstico clínico e estratificados conforme a evolução dos casos durante período de acompanhamento, Osório-RS, entre 2003 e 2023.</w:t>
      </w:r>
    </w:p>
    <w:p w14:paraId="0A264ADE" w14:textId="77777777" w:rsidR="009F5DFD" w:rsidRDefault="009F5DFD" w:rsidP="0037785B">
      <w:pPr>
        <w:spacing w:line="480" w:lineRule="auto"/>
        <w:jc w:val="both"/>
        <w:rPr>
          <w:rFonts w:ascii="Times New Roman" w:eastAsia="Times New Roman" w:hAnsi="Times New Roman" w:cs="Times New Roman"/>
          <w:sz w:val="24"/>
          <w:szCs w:val="24"/>
        </w:rPr>
      </w:pPr>
    </w:p>
    <w:p w14:paraId="0139D8AC" w14:textId="77777777" w:rsidR="009F5DFD" w:rsidRDefault="0037785B" w:rsidP="009F5DFD">
      <w:pPr>
        <w:spacing w:before="200" w:after="200" w:line="360" w:lineRule="auto"/>
        <w:ind w:firstLine="709"/>
        <w:jc w:val="both"/>
        <w:rPr>
          <w:rFonts w:ascii="Times New Roman" w:hAnsi="Times New Roman" w:cs="Times New Roman"/>
          <w:bCs/>
          <w:sz w:val="24"/>
          <w:szCs w:val="24"/>
        </w:rPr>
      </w:pPr>
      <w:r w:rsidRPr="009F5DFD">
        <w:rPr>
          <w:rFonts w:ascii="Times New Roman" w:hAnsi="Times New Roman" w:cs="Times New Roman"/>
          <w:bCs/>
          <w:sz w:val="24"/>
          <w:szCs w:val="24"/>
        </w:rPr>
        <w:lastRenderedPageBreak/>
        <w:t xml:space="preserve">Entre os 78 pacientes com diagnóstico confirmado de hepatite C, a genotipagem revelou que o genótipo 3 foi o mais frequente (34.61%), seguido pelo genótipo 1 (25.65%), pelo subtipo 1A (21.80%) e pelo subtipo 1B (10.25%); os genótipos 2 e 3A foram menos frequentes, correspondendo a 6.41% e 1.28% dos casos, respectivamente. Após o diagnóstico inicial de infecção por hepatite C, os pacientes devem ser submetidos à tipagem genotípica, exame imprescindível para esclarecer as variações genéticas do vírus que podem influenciar a resposta ao tratamento antiviral. Quantos os casos de hepatite C são estratificados pela evolução clínica (Gráfico 3), o genótipo que apresenta maior taxa de cura é o genótipo 3 (17.78%), enquanto o genótipo com menor taxa de cura é o genótipo 1A (5.56%). </w:t>
      </w:r>
    </w:p>
    <w:p w14:paraId="0362C0C2" w14:textId="356EFEFD" w:rsidR="009F5DFD" w:rsidRDefault="0034076C" w:rsidP="00AF6F67">
      <w:pPr>
        <w:spacing w:before="200" w:after="200" w:line="360" w:lineRule="auto"/>
        <w:ind w:firstLine="709"/>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7E38F42B" wp14:editId="5592A6C4">
            <wp:extent cx="4320000" cy="2719360"/>
            <wp:effectExtent l="19050" t="19050" r="23495" b="24130"/>
            <wp:docPr id="21869325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93253" name="Imagem 218693253"/>
                    <pic:cNvPicPr/>
                  </pic:nvPicPr>
                  <pic:blipFill>
                    <a:blip r:embed="rId17">
                      <a:extLst>
                        <a:ext uri="{28A0092B-C50C-407E-A947-70E740481C1C}">
                          <a14:useLocalDpi xmlns:a14="http://schemas.microsoft.com/office/drawing/2010/main" val="0"/>
                        </a:ext>
                      </a:extLst>
                    </a:blip>
                    <a:stretch>
                      <a:fillRect/>
                    </a:stretch>
                  </pic:blipFill>
                  <pic:spPr>
                    <a:xfrm>
                      <a:off x="0" y="0"/>
                      <a:ext cx="4320000" cy="2719360"/>
                    </a:xfrm>
                    <a:prstGeom prst="rect">
                      <a:avLst/>
                    </a:prstGeom>
                    <a:ln w="6350">
                      <a:solidFill>
                        <a:schemeClr val="bg1">
                          <a:lumMod val="85000"/>
                        </a:schemeClr>
                      </a:solidFill>
                    </a:ln>
                  </pic:spPr>
                </pic:pic>
              </a:graphicData>
            </a:graphic>
          </wp:inline>
        </w:drawing>
      </w:r>
    </w:p>
    <w:p w14:paraId="42B9C5C1" w14:textId="77777777" w:rsidR="005572A4" w:rsidRPr="005572A4" w:rsidRDefault="0037785B" w:rsidP="005572A4">
      <w:pPr>
        <w:spacing w:line="240" w:lineRule="auto"/>
        <w:ind w:firstLine="709"/>
        <w:jc w:val="both"/>
        <w:rPr>
          <w:rFonts w:ascii="Times New Roman" w:eastAsia="Times New Roman" w:hAnsi="Times New Roman" w:cs="Times New Roman"/>
          <w:b/>
          <w:bCs/>
          <w:sz w:val="20"/>
          <w:szCs w:val="20"/>
        </w:rPr>
      </w:pPr>
      <w:r w:rsidRPr="005572A4">
        <w:rPr>
          <w:rFonts w:ascii="Times New Roman" w:eastAsia="Times New Roman" w:hAnsi="Times New Roman" w:cs="Times New Roman"/>
          <w:b/>
          <w:bCs/>
          <w:sz w:val="20"/>
          <w:szCs w:val="20"/>
        </w:rPr>
        <w:t xml:space="preserve">Gráfico 3. </w:t>
      </w:r>
      <w:r w:rsidRPr="005572A4">
        <w:rPr>
          <w:rFonts w:ascii="Times New Roman" w:eastAsia="Times New Roman" w:hAnsi="Times New Roman" w:cs="Times New Roman"/>
          <w:sz w:val="20"/>
          <w:szCs w:val="20"/>
        </w:rPr>
        <w:t>Distribuição dos casos de Hepatite C segundo diagnóstico clínico e estratificados conforme a genotipagem viral, Osório-RS, entre 2003 e 2023.</w:t>
      </w:r>
      <w:r w:rsidRPr="005572A4">
        <w:rPr>
          <w:rFonts w:ascii="Times New Roman" w:eastAsia="Times New Roman" w:hAnsi="Times New Roman" w:cs="Times New Roman"/>
          <w:b/>
          <w:bCs/>
          <w:sz w:val="20"/>
          <w:szCs w:val="20"/>
        </w:rPr>
        <w:t xml:space="preserve"> </w:t>
      </w:r>
    </w:p>
    <w:p w14:paraId="6C4EBB4A" w14:textId="74036EAD" w:rsidR="0037785B" w:rsidRPr="009F5DFD" w:rsidRDefault="0037785B" w:rsidP="009F5DFD">
      <w:pPr>
        <w:spacing w:before="200" w:after="200" w:line="360" w:lineRule="auto"/>
        <w:ind w:firstLine="709"/>
        <w:jc w:val="both"/>
        <w:rPr>
          <w:rFonts w:ascii="Times New Roman" w:hAnsi="Times New Roman" w:cs="Times New Roman"/>
          <w:bCs/>
          <w:sz w:val="24"/>
          <w:szCs w:val="24"/>
        </w:rPr>
      </w:pPr>
      <w:r w:rsidRPr="009F5DFD">
        <w:rPr>
          <w:rFonts w:ascii="Times New Roman" w:hAnsi="Times New Roman" w:cs="Times New Roman"/>
          <w:bCs/>
          <w:sz w:val="24"/>
          <w:szCs w:val="24"/>
        </w:rPr>
        <w:t>Em relação à incidência, o maior coeficiente para hepatite B foi registrado no ano de 2023, com 16,52 casos por 100 mil habitantes. Já para a hepatite C, o pico ocorreu em 2011, com 28,94 casos por 100 mil habitantes (Gráficos 4 e 5). No que diz respeito à prevalência acumulada ao final do período de seguimento do estudo, foram contabilizados 146,67 casos por 100 mil habitantes para hepatite B e 233,44 casos por 100 mil habitantes para hepatite C. Por 17 fim, dos 56 óbitos registrados durante o acompanhamento, 16.07% foram atribuídos à hepatite B e 83.92% à hepatite C.</w:t>
      </w:r>
    </w:p>
    <w:p w14:paraId="448EFEEA" w14:textId="2D2394BD" w:rsidR="009F5DFD" w:rsidRDefault="009F5DFD" w:rsidP="005572A4">
      <w:pPr>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4A17776B" wp14:editId="7614804C">
            <wp:extent cx="5040000" cy="3114523"/>
            <wp:effectExtent l="19050" t="19050" r="27305" b="10160"/>
            <wp:docPr id="5993586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0000" cy="3114523"/>
                    </a:xfrm>
                    <a:prstGeom prst="rect">
                      <a:avLst/>
                    </a:prstGeom>
                    <a:noFill/>
                    <a:ln w="6350">
                      <a:solidFill>
                        <a:schemeClr val="bg1">
                          <a:lumMod val="85000"/>
                        </a:schemeClr>
                      </a:solidFill>
                    </a:ln>
                  </pic:spPr>
                </pic:pic>
              </a:graphicData>
            </a:graphic>
          </wp:inline>
        </w:drawing>
      </w:r>
    </w:p>
    <w:p w14:paraId="275479CB" w14:textId="7468DF04" w:rsidR="009F5DFD" w:rsidRDefault="009F5DFD" w:rsidP="009F5DFD">
      <w:pPr>
        <w:spacing w:line="240" w:lineRule="auto"/>
        <w:ind w:firstLine="709"/>
        <w:jc w:val="both"/>
        <w:rPr>
          <w:rFonts w:ascii="Times New Roman" w:eastAsia="Times New Roman" w:hAnsi="Times New Roman" w:cs="Times New Roman"/>
          <w:sz w:val="20"/>
          <w:szCs w:val="20"/>
        </w:rPr>
      </w:pPr>
      <w:r w:rsidRPr="009F5DFD">
        <w:rPr>
          <w:rFonts w:ascii="Times New Roman" w:eastAsia="Times New Roman" w:hAnsi="Times New Roman" w:cs="Times New Roman"/>
          <w:b/>
          <w:bCs/>
          <w:sz w:val="20"/>
          <w:szCs w:val="20"/>
        </w:rPr>
        <w:t xml:space="preserve">Gráfico 4. </w:t>
      </w:r>
      <w:r w:rsidRPr="009F5DFD">
        <w:rPr>
          <w:rFonts w:ascii="Times New Roman" w:eastAsia="Times New Roman" w:hAnsi="Times New Roman" w:cs="Times New Roman"/>
          <w:sz w:val="20"/>
          <w:szCs w:val="20"/>
        </w:rPr>
        <w:t>Incidência anual de Hepatite B Osório-RS, entre 2003 e 2023.</w:t>
      </w:r>
    </w:p>
    <w:p w14:paraId="146FFAD5" w14:textId="77777777" w:rsidR="0034076C" w:rsidRPr="009F5DFD" w:rsidRDefault="0034076C" w:rsidP="0034076C">
      <w:pPr>
        <w:spacing w:line="240" w:lineRule="auto"/>
        <w:jc w:val="both"/>
        <w:rPr>
          <w:rFonts w:ascii="Times New Roman" w:eastAsia="Times New Roman" w:hAnsi="Times New Roman" w:cs="Times New Roman"/>
          <w:sz w:val="20"/>
          <w:szCs w:val="20"/>
        </w:rPr>
      </w:pPr>
    </w:p>
    <w:p w14:paraId="5FCB3EF7" w14:textId="05492BFC" w:rsidR="009F5DFD" w:rsidRDefault="009F5DFD" w:rsidP="005572A4">
      <w:pPr>
        <w:spacing w:line="480" w:lineRule="auto"/>
        <w:jc w:val="center"/>
        <w:rPr>
          <w:rFonts w:ascii="Times New Roman" w:eastAsia="Times New Roman" w:hAnsi="Times New Roman" w:cs="Times New Roman"/>
          <w:sz w:val="24"/>
          <w:szCs w:val="24"/>
        </w:rPr>
      </w:pPr>
      <w:r>
        <w:rPr>
          <w:noProof/>
        </w:rPr>
        <w:drawing>
          <wp:inline distT="0" distB="0" distL="0" distR="0" wp14:anchorId="0DFD8754" wp14:editId="0B8ACE50">
            <wp:extent cx="5040000" cy="3114523"/>
            <wp:effectExtent l="19050" t="19050" r="27305" b="10160"/>
            <wp:docPr id="101467411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0000" cy="3114523"/>
                    </a:xfrm>
                    <a:prstGeom prst="rect">
                      <a:avLst/>
                    </a:prstGeom>
                    <a:noFill/>
                    <a:ln w="6350">
                      <a:solidFill>
                        <a:schemeClr val="bg1">
                          <a:lumMod val="85000"/>
                        </a:schemeClr>
                      </a:solidFill>
                    </a:ln>
                  </pic:spPr>
                </pic:pic>
              </a:graphicData>
            </a:graphic>
          </wp:inline>
        </w:drawing>
      </w:r>
    </w:p>
    <w:p w14:paraId="0063A4A1" w14:textId="66FBA3B6" w:rsidR="009F5DFD" w:rsidRDefault="009F5DFD" w:rsidP="009F5DFD">
      <w:pPr>
        <w:spacing w:line="240" w:lineRule="auto"/>
        <w:ind w:firstLine="709"/>
        <w:jc w:val="both"/>
        <w:rPr>
          <w:rFonts w:ascii="Times New Roman" w:eastAsia="Times New Roman" w:hAnsi="Times New Roman" w:cs="Times New Roman"/>
          <w:sz w:val="20"/>
          <w:szCs w:val="20"/>
        </w:rPr>
      </w:pPr>
      <w:r w:rsidRPr="009F5DFD">
        <w:rPr>
          <w:rFonts w:ascii="Times New Roman" w:eastAsia="Times New Roman" w:hAnsi="Times New Roman" w:cs="Times New Roman"/>
          <w:b/>
          <w:bCs/>
          <w:sz w:val="20"/>
          <w:szCs w:val="20"/>
        </w:rPr>
        <w:t>Gráfico 5.</w:t>
      </w:r>
      <w:r w:rsidRPr="009F5DFD">
        <w:rPr>
          <w:rFonts w:ascii="Times New Roman" w:eastAsia="Times New Roman" w:hAnsi="Times New Roman" w:cs="Times New Roman"/>
          <w:sz w:val="20"/>
          <w:szCs w:val="20"/>
        </w:rPr>
        <w:t xml:space="preserve"> Incidência anual de Hepatite C Osório-RS, entre 2003 e 2023.</w:t>
      </w:r>
    </w:p>
    <w:p w14:paraId="5602C9C8" w14:textId="77777777" w:rsidR="0034076C" w:rsidRPr="009F5DFD" w:rsidRDefault="0034076C" w:rsidP="0034076C">
      <w:pPr>
        <w:spacing w:line="240" w:lineRule="auto"/>
        <w:jc w:val="both"/>
        <w:rPr>
          <w:rFonts w:ascii="Times New Roman" w:eastAsia="Times New Roman" w:hAnsi="Times New Roman" w:cs="Times New Roman"/>
          <w:sz w:val="20"/>
          <w:szCs w:val="20"/>
        </w:rPr>
      </w:pPr>
    </w:p>
    <w:p w14:paraId="5C72E620" w14:textId="5925EF98" w:rsidR="00F015AE" w:rsidRDefault="00F015AE" w:rsidP="00F015AE">
      <w:pPr>
        <w:pStyle w:val="Ttulo1"/>
        <w:numPr>
          <w:ilvl w:val="0"/>
          <w:numId w:val="1"/>
        </w:numPr>
        <w:spacing w:line="360" w:lineRule="auto"/>
        <w:jc w:val="both"/>
        <w:rPr>
          <w:rFonts w:ascii="Times New Roman" w:eastAsia="Times New Roman" w:hAnsi="Times New Roman" w:cs="Times New Roman"/>
          <w:b/>
          <w:sz w:val="24"/>
          <w:szCs w:val="24"/>
        </w:rPr>
      </w:pPr>
      <w:r w:rsidRPr="00F015AE">
        <w:rPr>
          <w:rFonts w:ascii="Times New Roman" w:eastAsia="Times New Roman" w:hAnsi="Times New Roman" w:cs="Times New Roman"/>
          <w:b/>
          <w:sz w:val="24"/>
          <w:szCs w:val="24"/>
        </w:rPr>
        <w:t>DISCUSSÃO</w:t>
      </w:r>
    </w:p>
    <w:p w14:paraId="21F16E36"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 xml:space="preserve">Na análise geral dos dados, sem estratificação por diagnóstico clínico, observou-se que, no município de Osório, a hepatite C apresentou a maior frequência entre as </w:t>
      </w:r>
      <w:r w:rsidRPr="0034076C">
        <w:rPr>
          <w:rFonts w:ascii="Times New Roman" w:hAnsi="Times New Roman" w:cs="Times New Roman"/>
          <w:bCs/>
          <w:sz w:val="24"/>
          <w:szCs w:val="24"/>
        </w:rPr>
        <w:lastRenderedPageBreak/>
        <w:t>hepatites virais, correspondendo a 63.33% dos casos notificados, enquanto a hepatite B representou 33.80%. Em contraste, na região Sul do Brasil, a distribuição entre os tipos B e C é mais equilibrada, com 48.90% dos casos atribuídos à hepatite C e 51.06% à hepatite B. Esse panorama regional se destaca pelas elevadas taxas de detecção, conforme evidenciado no Boletim Epidemiológico de Hepatites Virais de 2024. No ano de 2023, a taxa nacional de incidência de hepatite C foi de 7,6 casos por 100 mil habitantes, enquanto na região Sul esse número foi mais que o dobro (15,2 casos/100 mil habitantes), alcançando 57,1 casos/100 mil habitantes em Porto Alegre. De forma semelhante, a taxa nacional de detecção da hepatite B em 2023 foi de 4,7 casos por 100 mil habitantes, ao passo que a região Sul registrou 9,7 casos/100 mil habitantes, com Porto Alegre apresentando uma das maiores incidências do país, 16,4 casos por 100 mil habitantes. Esses dados indicam uma dinâmica epidemiológica mais intensa na região Sul, especialmente em áreas urbanas como Porto Alegre, o que reforça a necessidade de estratégias de vigilância e intervenção específicas</w:t>
      </w:r>
      <w:r w:rsidRPr="0034076C">
        <w:rPr>
          <w:rFonts w:ascii="Times New Roman" w:hAnsi="Times New Roman" w:cs="Times New Roman"/>
          <w:bCs/>
          <w:sz w:val="24"/>
          <w:szCs w:val="24"/>
          <w:vertAlign w:val="superscript"/>
        </w:rPr>
        <w:t>10</w:t>
      </w:r>
      <w:r w:rsidRPr="0034076C">
        <w:rPr>
          <w:rFonts w:ascii="Times New Roman" w:hAnsi="Times New Roman" w:cs="Times New Roman"/>
          <w:bCs/>
          <w:sz w:val="24"/>
          <w:szCs w:val="24"/>
        </w:rPr>
        <w:t xml:space="preserve">. </w:t>
      </w:r>
    </w:p>
    <w:p w14:paraId="7A9BB614"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Do total de casos notificados e investigados no município de Osório durante o período analisado, 53.80% ocorreram em indivíduos do sexo masculino, resultando em uma razão de sexos (M:F) de 1,16, o que equivale a aproximadamente 12 homens para cada 10 mulheres. Em âmbito nacional, entre os casos diagnosticados de hepatites virais entre 2000 e 2023, 55.00% ocorreram em homens, com uma razão de sexos de 1,4 (14 homens para cada 10 mulheres) no ano de 2023. Embora o perfil de risco para ISTs, incluindo as hepatites virais B e C, seja multifatorial, destaca-se a maior vulnerabilidade dos homens à infecção, especialmente em contextos associados ao uso de drogas injetáveis, à transmissão sexual entre homens que fazem sexo com homens (HSH) e à coinfecção com HIV</w:t>
      </w:r>
      <w:r w:rsidRPr="0034076C">
        <w:rPr>
          <w:rFonts w:ascii="Times New Roman" w:hAnsi="Times New Roman" w:cs="Times New Roman"/>
          <w:bCs/>
          <w:sz w:val="24"/>
          <w:szCs w:val="24"/>
          <w:vertAlign w:val="superscript"/>
        </w:rPr>
        <w:t>29</w:t>
      </w:r>
      <w:r w:rsidRPr="0034076C">
        <w:rPr>
          <w:rFonts w:ascii="Times New Roman" w:hAnsi="Times New Roman" w:cs="Times New Roman"/>
          <w:bCs/>
          <w:sz w:val="24"/>
          <w:szCs w:val="24"/>
        </w:rPr>
        <w:t xml:space="preserve">. </w:t>
      </w:r>
    </w:p>
    <w:p w14:paraId="51A7EA84"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 xml:space="preserve">A análise da escolaridade revelou maior concentração de casos entre indivíduos com ensino fundamental, com redução progressiva na frequência à medida que o nível educacional aumenta. Especificamente, 43.66% dos casos de hepatite B e 36.30% dos de hepatite C ocorreram entre pessoas com esse nível de escolaridade. No entanto, a elevada proporção de registros incompletos compromete a robustez dessa análise. No total, 45.24% das fichas avaliadas não continham informação sobre escolaridade, sendo a ausência particularmente expressiva nos casos de hepatite C (47.41%). Essa lacuna </w:t>
      </w:r>
      <w:r w:rsidRPr="0034076C">
        <w:rPr>
          <w:rFonts w:ascii="Times New Roman" w:hAnsi="Times New Roman" w:cs="Times New Roman"/>
          <w:bCs/>
          <w:sz w:val="24"/>
          <w:szCs w:val="24"/>
        </w:rPr>
        <w:lastRenderedPageBreak/>
        <w:t>impossibilitou cálculos estatísticos mais precisos e limitou a análise da variável. De fato, a incompletude dos dados de escolaridade nas notificações representa uma limitação relevante para a vigilância epidemiológica e reflete uma falha recorrente no SINAN. Conforme destacado no Boletim Epidemiológico de Hepatites Virais de 2024, esse problema é observado em âmbito nacional, para hepatite B, 28.3% dos registros históricos acumulados apresentavam esse campo ignorado, no caso da hepatite C, a incompletude foi de 33.6% em 2023</w:t>
      </w:r>
      <w:r w:rsidRPr="0034076C">
        <w:rPr>
          <w:rFonts w:ascii="Times New Roman" w:hAnsi="Times New Roman" w:cs="Times New Roman"/>
          <w:bCs/>
          <w:sz w:val="24"/>
          <w:szCs w:val="24"/>
          <w:vertAlign w:val="superscript"/>
        </w:rPr>
        <w:t>10</w:t>
      </w:r>
      <w:r w:rsidRPr="0034076C">
        <w:rPr>
          <w:rFonts w:ascii="Times New Roman" w:hAnsi="Times New Roman" w:cs="Times New Roman"/>
          <w:bCs/>
          <w:sz w:val="24"/>
          <w:szCs w:val="24"/>
        </w:rPr>
        <w:t>. A ausência ou inconsistência no preenchimento de campos essenciais, como a escolaridade, compromete o planejamento de políticas públicas mais eficazes e direcionadas, já que dificulta a identificação de grupos prioritários e a elaboração de campanhas educativas adequadas. Diante desse cenário, torna-se fundamental investir na capacitação contínua dos profissionais responsáveis pelo preenchimento das fichas de notificação compulsória, conforme estabelecido pela Portaria de Consolidação nº 4, de 28 de setembro de 2017</w:t>
      </w:r>
      <w:r w:rsidRPr="0034076C">
        <w:rPr>
          <w:rFonts w:ascii="Times New Roman" w:hAnsi="Times New Roman" w:cs="Times New Roman"/>
          <w:bCs/>
          <w:sz w:val="24"/>
          <w:szCs w:val="24"/>
          <w:vertAlign w:val="superscript"/>
        </w:rPr>
        <w:t>30</w:t>
      </w:r>
      <w:r w:rsidRPr="0034076C">
        <w:rPr>
          <w:rFonts w:ascii="Times New Roman" w:hAnsi="Times New Roman" w:cs="Times New Roman"/>
          <w:bCs/>
          <w:sz w:val="24"/>
          <w:szCs w:val="24"/>
        </w:rPr>
        <w:t>. Além disso, é recomendável a implementação de auditorias sistemáticas para monitorar a qualidade dos dados e garantir o preenchimento adequado dos formulários, fortalecendo, assim, a resposta em saúde pública frente às hepatites virais</w:t>
      </w:r>
      <w:r w:rsidRPr="0034076C">
        <w:rPr>
          <w:rFonts w:ascii="Times New Roman" w:hAnsi="Times New Roman" w:cs="Times New Roman"/>
          <w:bCs/>
          <w:sz w:val="24"/>
          <w:szCs w:val="24"/>
          <w:vertAlign w:val="superscript"/>
        </w:rPr>
        <w:t>31</w:t>
      </w:r>
      <w:r w:rsidRPr="0034076C">
        <w:rPr>
          <w:rFonts w:ascii="Times New Roman" w:hAnsi="Times New Roman" w:cs="Times New Roman"/>
          <w:bCs/>
          <w:sz w:val="24"/>
          <w:szCs w:val="24"/>
        </w:rPr>
        <w:t xml:space="preserve">. </w:t>
      </w:r>
    </w:p>
    <w:p w14:paraId="1C45B84F"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No município de Osório, a faixa etária que concentrou a maior porcentagem dos casos de hepatite B e C foi a de 40 a 49 anos, com 33.91% dos casos notificados. Especificamente, a hepatite C apresentou maior frequência nessa faixa etária, com 38.35% dos casos, enquanto a hepatite B foi mais frequente entre indivíduos de 50 a 59 anos (29.58%). Em nível nacional, 20 para a hepatite B, entre 2000 e 2023, 46.50% dos casos ocorreram entre indivíduos de 30 a 49 anos. Em 2023, porém, observou-se um deslocamento da carga dessa doença para faixas mais avançadas, com 20.20% dos casos diagnosticados entre indivíduos com 60 anos ou mais. Essa faixa etária é ainda mais importante para os casos de hepatite C, visto que no Brasil 24.00% dos casos ocorreram em indivíduos com 60 anos ou mais</w:t>
      </w:r>
      <w:r w:rsidRPr="0034076C">
        <w:rPr>
          <w:rFonts w:ascii="Times New Roman" w:hAnsi="Times New Roman" w:cs="Times New Roman"/>
          <w:bCs/>
          <w:sz w:val="24"/>
          <w:szCs w:val="24"/>
          <w:vertAlign w:val="superscript"/>
        </w:rPr>
        <w:t>10</w:t>
      </w:r>
      <w:r w:rsidRPr="0034076C">
        <w:rPr>
          <w:rFonts w:ascii="Times New Roman" w:hAnsi="Times New Roman" w:cs="Times New Roman"/>
          <w:bCs/>
          <w:sz w:val="24"/>
          <w:szCs w:val="24"/>
        </w:rPr>
        <w:t xml:space="preserve">. Dados do </w:t>
      </w:r>
      <w:r w:rsidRPr="0034076C">
        <w:rPr>
          <w:rFonts w:ascii="Times New Roman" w:hAnsi="Times New Roman" w:cs="Times New Roman"/>
          <w:bCs/>
          <w:i/>
          <w:iCs/>
          <w:sz w:val="24"/>
          <w:szCs w:val="24"/>
        </w:rPr>
        <w:t>Centers for Disease Control and Prevention</w:t>
      </w:r>
      <w:r w:rsidRPr="0034076C">
        <w:rPr>
          <w:rFonts w:ascii="Times New Roman" w:hAnsi="Times New Roman" w:cs="Times New Roman"/>
          <w:bCs/>
          <w:sz w:val="24"/>
          <w:szCs w:val="24"/>
        </w:rPr>
        <w:t xml:space="preserve"> (CDC), nos Estados Unidos, também apontam para um aumento na incidência das hepatites B e C entre indivíduos com mais de 49 anos, especialmente entre os de 2021 e 2022</w:t>
      </w:r>
      <w:r w:rsidRPr="0034076C">
        <w:rPr>
          <w:rFonts w:ascii="Times New Roman" w:hAnsi="Times New Roman" w:cs="Times New Roman"/>
          <w:bCs/>
          <w:sz w:val="24"/>
          <w:szCs w:val="24"/>
          <w:vertAlign w:val="superscript"/>
        </w:rPr>
        <w:t>32</w:t>
      </w:r>
      <w:r w:rsidRPr="0034076C">
        <w:rPr>
          <w:rFonts w:ascii="Times New Roman" w:hAnsi="Times New Roman" w:cs="Times New Roman"/>
          <w:bCs/>
          <w:sz w:val="24"/>
          <w:szCs w:val="24"/>
        </w:rPr>
        <w:t xml:space="preserve">. Esses achados reforçam que, embora a maior parte dos casos em Osório esteja concentrada entre 40 e 59 anos, a dinâmica etária das hepatites virais é complexa e progressivamente deslocada para faixas etárias mais elevadas. Além disso, ressaltam que essas infecções não se restringem a um grupo demográfico específico, atingindo </w:t>
      </w:r>
      <w:r w:rsidRPr="0034076C">
        <w:rPr>
          <w:rFonts w:ascii="Times New Roman" w:hAnsi="Times New Roman" w:cs="Times New Roman"/>
          <w:bCs/>
          <w:sz w:val="24"/>
          <w:szCs w:val="24"/>
        </w:rPr>
        <w:lastRenderedPageBreak/>
        <w:t xml:space="preserve">indivíduos de diferentes idades, gêneros e contextos sociais, o que reforça a importância de estratégias de prevenção abrangentes e intergeracionais. </w:t>
      </w:r>
    </w:p>
    <w:p w14:paraId="0CFD93C7" w14:textId="6E4F4934"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No estudo realizado em Osório, observou-se coinfecção pelo HIV em 6.85% dos casos de hepatite B e 11.45% dos casos de hepatite C. Esses percentuais superam as médias nacionais, que, segundo o Boletim Epidemiológico de Hepatites Virais, são de 5.00% para hepatite B e 7.80% para hepatite C. Entre as regiões brasileiras, o Sul apresentou, em 2023, a maior proporção de coinfecção entre indivíduos com hepatite C, com 8.20% dos casos. Nesse contexto, os dados de Osório apontam para uma situação mais preocupante, especialmente no que se refere à hepatite C, cujas taxas de coinfecção excedem tanto os índices regionais quanto os nacionais</w:t>
      </w:r>
      <w:r w:rsidRPr="0034076C">
        <w:rPr>
          <w:rFonts w:ascii="Times New Roman" w:hAnsi="Times New Roman" w:cs="Times New Roman"/>
          <w:bCs/>
          <w:sz w:val="24"/>
          <w:szCs w:val="24"/>
          <w:vertAlign w:val="superscript"/>
        </w:rPr>
        <w:t>10</w:t>
      </w:r>
      <w:r w:rsidRPr="0034076C">
        <w:rPr>
          <w:rFonts w:ascii="Times New Roman" w:hAnsi="Times New Roman" w:cs="Times New Roman"/>
          <w:bCs/>
          <w:sz w:val="24"/>
          <w:szCs w:val="24"/>
        </w:rPr>
        <w:t>. Esse cenário evidencia a coinfecção HIV-HCV como um desafio relevante para a saúde pública local, exigindo atenção imediata. É fundamental assegurar a implementação adequada dos protocolos clínicos específicos para o manejo de pessoas vivendo com HIV, especialmente aquelas coinfectadas por hepatites virais, dada a complexidade do tratamento e o risco aumentado de progressão para formas graves de doença hepática. Embora a transmissão</w:t>
      </w:r>
      <w:r>
        <w:rPr>
          <w:rFonts w:ascii="Times New Roman" w:hAnsi="Times New Roman" w:cs="Times New Roman"/>
          <w:bCs/>
          <w:sz w:val="24"/>
          <w:szCs w:val="24"/>
        </w:rPr>
        <w:t xml:space="preserve"> </w:t>
      </w:r>
      <w:r w:rsidRPr="0034076C">
        <w:rPr>
          <w:rFonts w:ascii="Times New Roman" w:hAnsi="Times New Roman" w:cs="Times New Roman"/>
          <w:bCs/>
          <w:sz w:val="24"/>
          <w:szCs w:val="24"/>
        </w:rPr>
        <w:t>sexual e vertical do vírus da hepatite C fosse considerada pouco expressiva, estudos recentes demonstram maior risco de infecção pelo HCV entre indivíduos com múltiplos parceiros sexuais e na presença de ISTs, particularmente o HIV. Tais achados reforçam a importância de estratégias integradas de prevenção, diagnóstico precoce e cuidado contínuo para populações vulneráveis</w:t>
      </w:r>
      <w:r w:rsidRPr="0034076C">
        <w:rPr>
          <w:rFonts w:ascii="Times New Roman" w:hAnsi="Times New Roman" w:cs="Times New Roman"/>
          <w:bCs/>
          <w:sz w:val="24"/>
          <w:szCs w:val="24"/>
          <w:vertAlign w:val="superscript"/>
        </w:rPr>
        <w:t>34</w:t>
      </w:r>
      <w:r w:rsidRPr="0034076C">
        <w:rPr>
          <w:rFonts w:ascii="Times New Roman" w:hAnsi="Times New Roman" w:cs="Times New Roman"/>
          <w:bCs/>
          <w:sz w:val="24"/>
          <w:szCs w:val="24"/>
        </w:rPr>
        <w:t xml:space="preserve">. </w:t>
      </w:r>
    </w:p>
    <w:p w14:paraId="236CBFE6"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 xml:space="preserve">O estudo evidenciou uma cobertura vacinal insatisfatória contra a hepatite B entre os pacientes avaliados, com apenas 13.06% apresentando esquema vacinal completo. Esse dado é particularmente preocupante, considerando que a vacina contra o HBV é disponibilizada gratuitamente pelo SUS e integra o Calendário Nacional de Vacinação, estando acessível a toda a população não imunizada. Essa situação observada em Osório é compatível com o panorama da região Sul do Brasil, onde, apesar dos avanços proporcionados pelas políticas públicas de imunização, a cobertura permanece abaixo do ideal. A persistência de novas infecções, especialmente em populações de maior vulnerabilidade, indica falhas na efetivação da prevenção primária. Fatores como desinformação, hesitação vacinal e baixa percepção de risco em relação às hepatites virais contribuem significativamente para essa realidade. Nesse contexto, torna-se </w:t>
      </w:r>
      <w:r w:rsidRPr="0034076C">
        <w:rPr>
          <w:rFonts w:ascii="Times New Roman" w:hAnsi="Times New Roman" w:cs="Times New Roman"/>
          <w:bCs/>
          <w:sz w:val="24"/>
          <w:szCs w:val="24"/>
        </w:rPr>
        <w:lastRenderedPageBreak/>
        <w:t>imprescindível o fortalecimento de estratégias de educação em saúde, com foco na conscientização sobre a importância da vacinação e da testagem para ISTs, bem como a qualificação das ações de vigilância epidemiológica</w:t>
      </w:r>
      <w:r w:rsidRPr="0034076C">
        <w:rPr>
          <w:rFonts w:ascii="Times New Roman" w:hAnsi="Times New Roman" w:cs="Times New Roman"/>
          <w:bCs/>
          <w:sz w:val="24"/>
          <w:szCs w:val="24"/>
          <w:vertAlign w:val="superscript"/>
        </w:rPr>
        <w:t>35</w:t>
      </w:r>
      <w:r w:rsidRPr="0034076C">
        <w:rPr>
          <w:rFonts w:ascii="Times New Roman" w:hAnsi="Times New Roman" w:cs="Times New Roman"/>
          <w:bCs/>
          <w:sz w:val="24"/>
          <w:szCs w:val="24"/>
        </w:rPr>
        <w:t xml:space="preserve">. </w:t>
      </w:r>
    </w:p>
    <w:p w14:paraId="7AFDEE60"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Os pesquisadores identificaram uma elevada taxa de cronificação das hepatites virais no município de Osório, com predominância da hepatite C crônica (53.74%), seguida pela hepatite B crônica (27.10%). Esses achados indicam que o diagnóstico, na maioria dos casos, ocorre tardiamente, frequentemente após o aparecimento de sintomas ou complicações clínicas. Além disso, foram observadas comorbidades hepáticas entre os casos notificados: fibrose hepática em 39.30%; elevações da aspartato aminotransferase (TGO) e da alanina aminotransferase (TGP) em 35.70%; cirrose em 14.30%; esteatose hepática em 10.70%. Esses resultados reforçam a hipótese de infecção prolongada sem manejo clínico adequado, evidenciando a necessidade de estratégias mais eficazes de rastreamento, diagnóstico precoce e acompanhamento contínuo dos pacientes</w:t>
      </w:r>
      <w:r w:rsidRPr="0034076C">
        <w:rPr>
          <w:rFonts w:ascii="Times New Roman" w:hAnsi="Times New Roman" w:cs="Times New Roman"/>
          <w:bCs/>
          <w:sz w:val="24"/>
          <w:szCs w:val="24"/>
          <w:vertAlign w:val="superscript"/>
        </w:rPr>
        <w:t>36</w:t>
      </w:r>
      <w:r w:rsidRPr="0034076C">
        <w:rPr>
          <w:rFonts w:ascii="Times New Roman" w:hAnsi="Times New Roman" w:cs="Times New Roman"/>
          <w:bCs/>
          <w:sz w:val="24"/>
          <w:szCs w:val="24"/>
        </w:rPr>
        <w:t xml:space="preserve">. </w:t>
      </w:r>
    </w:p>
    <w:p w14:paraId="4255CADA"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A cronificação da hepatite B está fortemente associada à idade no momento da infecção, sendo que em crianças menores de cinco anos, a taxa de progressão para a forma crônica pode ultrapassar 90.00%, enquanto em adultos esse índice é de aproximadamente 10.00%</w:t>
      </w:r>
      <w:r w:rsidRPr="0034076C">
        <w:rPr>
          <w:rFonts w:ascii="Times New Roman" w:hAnsi="Times New Roman" w:cs="Times New Roman"/>
          <w:bCs/>
          <w:sz w:val="24"/>
          <w:szCs w:val="24"/>
          <w:vertAlign w:val="superscript"/>
        </w:rPr>
        <w:t>15-16</w:t>
      </w:r>
      <w:r w:rsidRPr="0034076C">
        <w:rPr>
          <w:rFonts w:ascii="Times New Roman" w:hAnsi="Times New Roman" w:cs="Times New Roman"/>
          <w:bCs/>
          <w:sz w:val="24"/>
          <w:szCs w:val="24"/>
        </w:rPr>
        <w:t>. O HBV possui a capacidade de formar DNA circular covalentemente fechado (cccDNA), que permanece estável no núcleo dos hepatócitos infectados. Este cccDNA atua como um molde persistente para a replicação viral, tornando sua erradicação extremamente difícil. A resposta imune, embora ativa, é geralmente incapaz de eliminar completamente as células infectadas, resultando em inflamação crônica mediada por células T citotóxicas que tentam destruir os hepatócitos portadores do cccDNA</w:t>
      </w:r>
      <w:r w:rsidRPr="0034076C">
        <w:rPr>
          <w:rFonts w:ascii="Times New Roman" w:hAnsi="Times New Roman" w:cs="Times New Roman"/>
          <w:bCs/>
          <w:sz w:val="24"/>
          <w:szCs w:val="24"/>
          <w:vertAlign w:val="superscript"/>
        </w:rPr>
        <w:t>37</w:t>
      </w:r>
      <w:r w:rsidRPr="0034076C">
        <w:rPr>
          <w:rFonts w:ascii="Times New Roman" w:hAnsi="Times New Roman" w:cs="Times New Roman"/>
          <w:bCs/>
          <w:sz w:val="24"/>
          <w:szCs w:val="24"/>
        </w:rPr>
        <w:t>. Já no caso da hepatite C, a cronificação ocorre em cerca de 90.00% das infecções em adultos. O HCV, um vírus de RNA, apresenta alta taxa de mutação devido à ausência da função de revisão da sua RNA polimerase e à sua alta taxa de replicação, o que leva à produção de muitas variantes virais durante a infecção. Essa variabilidade genética dificulta o reconhecimento imunológico, promovendo o escape da resposta das células T citotóxicas. Mesmo com a ativação da resposta imune adaptativa, o vírus frequentemente persiste, o que resulta em hepatite crônica na maioria dos casos e, se não tratada, pode levar à fibrose avançada e cirrose</w:t>
      </w:r>
      <w:r w:rsidRPr="0034076C">
        <w:rPr>
          <w:rFonts w:ascii="Times New Roman" w:hAnsi="Times New Roman" w:cs="Times New Roman"/>
          <w:bCs/>
          <w:sz w:val="24"/>
          <w:szCs w:val="24"/>
          <w:vertAlign w:val="superscript"/>
        </w:rPr>
        <w:t>38</w:t>
      </w:r>
      <w:r w:rsidRPr="0034076C">
        <w:rPr>
          <w:rFonts w:ascii="Times New Roman" w:hAnsi="Times New Roman" w:cs="Times New Roman"/>
          <w:bCs/>
          <w:sz w:val="24"/>
          <w:szCs w:val="24"/>
        </w:rPr>
        <w:t xml:space="preserve">. De fato, a cronificação das hepatites virais está associada a um risco significativamente elevado de evolução para fibrose, </w:t>
      </w:r>
      <w:r w:rsidRPr="0034076C">
        <w:rPr>
          <w:rFonts w:ascii="Times New Roman" w:hAnsi="Times New Roman" w:cs="Times New Roman"/>
          <w:bCs/>
          <w:sz w:val="24"/>
          <w:szCs w:val="24"/>
        </w:rPr>
        <w:lastRenderedPageBreak/>
        <w:t>cirrose e carcinoma hepatocelular, principais causas de morbimortalidade relacionadas a essas infecções. Do ponto de vista da saúde pública, o diagnóstico tardio e a necessidade de acompanhamento prolongado impõem um fardo substancial ao sistema de saúde, tornando imprescindíveis ações preventivas, detecção precoce e acesso ampliado ao tratamento</w:t>
      </w:r>
      <w:r w:rsidRPr="0034076C">
        <w:rPr>
          <w:rFonts w:ascii="Times New Roman" w:hAnsi="Times New Roman" w:cs="Times New Roman"/>
          <w:bCs/>
          <w:sz w:val="24"/>
          <w:szCs w:val="24"/>
          <w:vertAlign w:val="superscript"/>
        </w:rPr>
        <w:t>39</w:t>
      </w:r>
      <w:r w:rsidRPr="0034076C">
        <w:rPr>
          <w:rFonts w:ascii="Times New Roman" w:hAnsi="Times New Roman" w:cs="Times New Roman"/>
          <w:bCs/>
          <w:sz w:val="24"/>
          <w:szCs w:val="24"/>
        </w:rPr>
        <w:t xml:space="preserve">. </w:t>
      </w:r>
    </w:p>
    <w:p w14:paraId="5D0CBEDD" w14:textId="77777777"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Apesar da elevada taxa de cronificação da hepatite C, a análise da evolução clínica dos pacientes em Osório revelou uma maior taxa de cura virológica entre os casos de hepatite C crônica (43.75%) em comparação com os de hepatite B crônica (24.19%). Em contrapartida, a infecção crônica pelo HBV apresentou maior frequência de carga viral detectável (51.61%), indicando menor controle virológico. Essa diferença está relacionada às características genômicas dos vírus e às abordagens disponíveis para tratamento. No caso do HCV, os antivirais de ação direta (DAAs) atuam sobre proteínas virais essenciais, como as polimerases NS5A e NS5B, promovendo a supressão sustentada da replicação viral e, em muitos casos, a cura virológica após 8 a 12 semanas de tratamento</w:t>
      </w:r>
      <w:r w:rsidRPr="0034076C">
        <w:rPr>
          <w:rFonts w:ascii="Times New Roman" w:hAnsi="Times New Roman" w:cs="Times New Roman"/>
          <w:bCs/>
          <w:sz w:val="24"/>
          <w:szCs w:val="24"/>
          <w:vertAlign w:val="superscript"/>
        </w:rPr>
        <w:t>38</w:t>
      </w:r>
      <w:r w:rsidRPr="0034076C">
        <w:rPr>
          <w:rFonts w:ascii="Times New Roman" w:hAnsi="Times New Roman" w:cs="Times New Roman"/>
          <w:bCs/>
          <w:sz w:val="24"/>
          <w:szCs w:val="24"/>
        </w:rPr>
        <w:t>. Por outro lado, o tratamento da hepatite B, embora também baseado em antivirais, especialmente análogos de nucleosídeos (NAs), é limitado pela persistência do cccDNA no núcleo dos hepatócitos. Este cccDNA serve como um molde persistente para a replicação viral, tornando a erradicação completa do HBV extremamente difícil</w:t>
      </w:r>
      <w:r w:rsidRPr="0034076C">
        <w:rPr>
          <w:rFonts w:ascii="Times New Roman" w:hAnsi="Times New Roman" w:cs="Times New Roman"/>
          <w:bCs/>
          <w:sz w:val="24"/>
          <w:szCs w:val="24"/>
          <w:vertAlign w:val="superscript"/>
        </w:rPr>
        <w:t>40</w:t>
      </w:r>
      <w:r w:rsidRPr="0034076C">
        <w:rPr>
          <w:rFonts w:ascii="Times New Roman" w:hAnsi="Times New Roman" w:cs="Times New Roman"/>
          <w:bCs/>
          <w:sz w:val="24"/>
          <w:szCs w:val="24"/>
        </w:rPr>
        <w:t xml:space="preserve">. </w:t>
      </w:r>
    </w:p>
    <w:p w14:paraId="62347191" w14:textId="77777777" w:rsidR="00571E2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Em Osório, a genotipagem do vírus da hepatite C revelou predominância do genótipo 3, responsável por 34.61% dos casos. Esse mesmo genótipo apresentou a maior taxa de cura virológica no município, com 59.29% dos pacientes evoluindo para resposta virológica sustentada. Diferentemente do padrão nacional, em que o genótipo 1 é o mais prevalente, o predomínio do genótipo 3 na região destaca a importância da genotipagem no planejamento terapêutico</w:t>
      </w:r>
      <w:r w:rsidRPr="0034076C">
        <w:rPr>
          <w:rFonts w:ascii="Times New Roman" w:hAnsi="Times New Roman" w:cs="Times New Roman"/>
          <w:bCs/>
          <w:sz w:val="24"/>
          <w:szCs w:val="24"/>
          <w:vertAlign w:val="superscript"/>
        </w:rPr>
        <w:t>41</w:t>
      </w:r>
      <w:r w:rsidRPr="0034076C">
        <w:rPr>
          <w:rFonts w:ascii="Times New Roman" w:hAnsi="Times New Roman" w:cs="Times New Roman"/>
          <w:bCs/>
          <w:sz w:val="24"/>
          <w:szCs w:val="24"/>
        </w:rPr>
        <w:t>. Assim, o conhecimento do genótipo do HCV continua sendo uma etapa relevante para a escolha do esquema de tratamento mais adequado, apesar dos avanços proporcionados pelos DAAs, que oferecem alta eficácia para a maioria dos genótipos. A genotipagem contribui para a individualização do cuidado, otimização dos resultados terapêuticos e tomada de decisão clínica, especialmente em casos com comorbidades, cirrose avançada ou histórico de falha terapêutica</w:t>
      </w:r>
      <w:r w:rsidRPr="00571E2C">
        <w:rPr>
          <w:rFonts w:ascii="Times New Roman" w:hAnsi="Times New Roman" w:cs="Times New Roman"/>
          <w:bCs/>
          <w:sz w:val="24"/>
          <w:szCs w:val="24"/>
          <w:vertAlign w:val="superscript"/>
        </w:rPr>
        <w:t>42</w:t>
      </w:r>
      <w:r w:rsidRPr="0034076C">
        <w:rPr>
          <w:rFonts w:ascii="Times New Roman" w:hAnsi="Times New Roman" w:cs="Times New Roman"/>
          <w:bCs/>
          <w:sz w:val="24"/>
          <w:szCs w:val="24"/>
        </w:rPr>
        <w:t xml:space="preserve">. </w:t>
      </w:r>
    </w:p>
    <w:p w14:paraId="1DD331E2" w14:textId="77777777" w:rsidR="002D35F4"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 xml:space="preserve">No município de Osório, o maior coeficiente de incidência de hepatite B foi registrado em 2023, alcançando 16,52 casos por 100 mil habitantes. Esse valor é </w:t>
      </w:r>
      <w:r w:rsidRPr="0034076C">
        <w:rPr>
          <w:rFonts w:ascii="Times New Roman" w:hAnsi="Times New Roman" w:cs="Times New Roman"/>
          <w:bCs/>
          <w:sz w:val="24"/>
          <w:szCs w:val="24"/>
        </w:rPr>
        <w:lastRenderedPageBreak/>
        <w:t>notavelmente elevado quando comparado à taxa nacional, que, segundo o Boletim Epidemiológico de Hepatites Virais de 2024, apresentou uma redução de 42.80% no período de 2013 a 2023, passando de 8,3 para 4,7 casos por 100 mil habitantes. A região Sul, no entanto, manteve índices superiores à média nacional. Em 2023, Porto Alegre destacou-se como uma das capitais com maior taxa de detecção de hepatite B, com 16,4 casos por 100 mil habitantes</w:t>
      </w:r>
      <w:r w:rsidRPr="002D35F4">
        <w:rPr>
          <w:rFonts w:ascii="Times New Roman" w:hAnsi="Times New Roman" w:cs="Times New Roman"/>
          <w:bCs/>
          <w:sz w:val="24"/>
          <w:szCs w:val="24"/>
          <w:vertAlign w:val="superscript"/>
        </w:rPr>
        <w:t>10</w:t>
      </w:r>
      <w:r w:rsidRPr="0034076C">
        <w:rPr>
          <w:rFonts w:ascii="Times New Roman" w:hAnsi="Times New Roman" w:cs="Times New Roman"/>
          <w:bCs/>
          <w:sz w:val="24"/>
          <w:szCs w:val="24"/>
        </w:rPr>
        <w:t xml:space="preserve">. A taxa observada em Osório é bastante próxima a essa, sugerindo uma concentração regional significativa de casos, mesmo diante da tendência nacional de declínio. </w:t>
      </w:r>
    </w:p>
    <w:p w14:paraId="0A0466C8" w14:textId="77777777" w:rsidR="002D35F4"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Em 2023, o coeficiente de incidência de hepatite C no município de Osório foi de 24,78 casos por 100 mil habitantes, uma leve redução em relação ao pico registrado em 2011, quando a taxa atingiu 28,94 casos por 100 mil. Apesar da diminuição, o valor atual permanece significativamente superior à média nacional, que em 2023 foi de 7,6 casos por 100 mil habitantes, conforme dados do Boletim Epidemiológico de Hepatites Virais. A região Sul apresentou os maiores coeficientes do país, com uma taxa de detecção de 15,2 casos por 100 mil habitantes no mesmo ano, superando expressivamente a média brasileira. Além disso, Porto Alegre destacou-se como a capital com maior incidência de hepatite C em 2023, alcançando 57,1 casos por 100 mil habitantes. Assim, embora Osório não atinja os níveis observados na capital gaúcha, seus índices seguem bem acima das médias regional e nacional, indicando a manutenção de uma carga significativa da infecção no município. Além disso, a hepatite C foi a principal causa de óbitos relacionados às hepatites virais no município. Dos 56 óbitos registrados durante o acompanhamento, 83.92% foram atribuídos à hepatite C, que também é a principal causa de morte entre as hepatites virais no Brasil</w:t>
      </w:r>
      <w:r w:rsidRPr="002D35F4">
        <w:rPr>
          <w:rFonts w:ascii="Times New Roman" w:hAnsi="Times New Roman" w:cs="Times New Roman"/>
          <w:bCs/>
          <w:sz w:val="24"/>
          <w:szCs w:val="24"/>
          <w:vertAlign w:val="superscript"/>
        </w:rPr>
        <w:t>10</w:t>
      </w:r>
      <w:r w:rsidRPr="0034076C">
        <w:rPr>
          <w:rFonts w:ascii="Times New Roman" w:hAnsi="Times New Roman" w:cs="Times New Roman"/>
          <w:bCs/>
          <w:sz w:val="24"/>
          <w:szCs w:val="24"/>
        </w:rPr>
        <w:t xml:space="preserve">. </w:t>
      </w:r>
    </w:p>
    <w:p w14:paraId="31552198" w14:textId="77777777" w:rsidR="002D35F4" w:rsidRDefault="002D35F4" w:rsidP="0034076C">
      <w:pPr>
        <w:spacing w:before="200" w:after="200" w:line="360" w:lineRule="auto"/>
        <w:ind w:firstLine="709"/>
        <w:jc w:val="both"/>
        <w:rPr>
          <w:rFonts w:ascii="Times New Roman" w:hAnsi="Times New Roman" w:cs="Times New Roman"/>
          <w:bCs/>
          <w:sz w:val="24"/>
          <w:szCs w:val="24"/>
        </w:rPr>
      </w:pPr>
    </w:p>
    <w:p w14:paraId="6A65B012" w14:textId="77777777" w:rsidR="002D35F4" w:rsidRDefault="002D35F4" w:rsidP="002D35F4">
      <w:pPr>
        <w:pStyle w:val="Ttulo1"/>
        <w:numPr>
          <w:ilvl w:val="0"/>
          <w:numId w:val="1"/>
        </w:numPr>
        <w:spacing w:line="360" w:lineRule="auto"/>
        <w:jc w:val="both"/>
        <w:rPr>
          <w:rFonts w:ascii="Times New Roman" w:eastAsia="Times New Roman" w:hAnsi="Times New Roman" w:cs="Times New Roman"/>
          <w:b/>
          <w:sz w:val="24"/>
          <w:szCs w:val="24"/>
        </w:rPr>
      </w:pPr>
      <w:bookmarkStart w:id="5" w:name="_Toc214644174"/>
      <w:r w:rsidRPr="00256DDA">
        <w:rPr>
          <w:rFonts w:ascii="Times New Roman" w:eastAsia="Times New Roman" w:hAnsi="Times New Roman" w:cs="Times New Roman"/>
          <w:b/>
          <w:sz w:val="24"/>
          <w:szCs w:val="24"/>
        </w:rPr>
        <w:t>CONCLUSÕES</w:t>
      </w:r>
      <w:bookmarkEnd w:id="5"/>
    </w:p>
    <w:p w14:paraId="78E6B7FA" w14:textId="77777777" w:rsidR="002D35F4"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 xml:space="preserve">A análise epidemiológica das hepatites em Osório revela uma realidade preocupante que espelha o cenário da região Sul do Brasil, com algumas particularidades locais. Apesar de o município apresentar uma boa taxa de notificação, similar à regional, a baixa cobertura vacinal contra a hepatite B e a elevada taxa de cronificação das hepatites, especialmente a hepatite C, indicam falhas significativas nas estratégias de </w:t>
      </w:r>
      <w:r w:rsidRPr="0034076C">
        <w:rPr>
          <w:rFonts w:ascii="Times New Roman" w:hAnsi="Times New Roman" w:cs="Times New Roman"/>
          <w:bCs/>
          <w:sz w:val="24"/>
          <w:szCs w:val="24"/>
        </w:rPr>
        <w:lastRenderedPageBreak/>
        <w:t xml:space="preserve">prevenção e vacinação. Constata-se uma desconexão entre a oferta de serviços, considerando que todas as vacinas, testes rápidos, tratamentos e métodos contraceptivos são fornecidos gratuitamente pelo SUS, e que o município conta com profissionais qualificados, e a efetiva procura e adesão da população. Essa lacuna contribui para diagnósticos tardios, elevadas taxas de cronificação e morbimortalidade associada às infecções, além de uma alta taxa de coinfecção com superior às médias regionais e nacionais. </w:t>
      </w:r>
    </w:p>
    <w:p w14:paraId="0CB08A4C" w14:textId="1C07F8F6" w:rsidR="0034076C" w:rsidRDefault="0034076C" w:rsidP="0034076C">
      <w:pPr>
        <w:spacing w:before="200" w:after="200" w:line="360" w:lineRule="auto"/>
        <w:ind w:firstLine="709"/>
        <w:jc w:val="both"/>
        <w:rPr>
          <w:rFonts w:ascii="Times New Roman" w:hAnsi="Times New Roman" w:cs="Times New Roman"/>
          <w:bCs/>
          <w:sz w:val="24"/>
          <w:szCs w:val="24"/>
        </w:rPr>
      </w:pPr>
      <w:r w:rsidRPr="0034076C">
        <w:rPr>
          <w:rFonts w:ascii="Times New Roman" w:hAnsi="Times New Roman" w:cs="Times New Roman"/>
          <w:bCs/>
          <w:sz w:val="24"/>
          <w:szCs w:val="24"/>
        </w:rPr>
        <w:t>A alta incompletude dos dados nas fichas de notificação compulsória, como o campo de escolaridade, também compromete a eficácia da vigilância epidemiológica e das intervenções. Para enfrentar esses desafios, é fundamental fortalecer as estratégias de prevenção, diagnóstico precoce e qualificação das informações. Sugere-se investir na capacitação contínua dos profissionais de saúde, especialmente os responsáveis pelo preenchimento das fichas de notificação, garantindo o registro correto e completo dos dados. Também é crucial ampliar e diversificar as campanhas de conscientização sobre a importância da vacinação contra a hepatite B, da prevenção das ISTs e do diagnóstico precoce, com foco nas populações mais vulneráveis. A comunicação com os pacientes deve ser aprimorada, e, para isso, propõe-se a implementação de novos canais, como o uso do WhatsApp no setor de Vigilância Epidemiológica, facilitando o contato e o acompanhamento dos casos. Por fim, é essencial integrar os serviços de saúde de forma mais fluida, garantindo que as opções disponíveis sejam claramente comunicadas e facilmente acessíveis à população, convertendo a disponibilidade de recursos em efetiva utilização e impacto positivo na saúde pública local.</w:t>
      </w:r>
    </w:p>
    <w:p w14:paraId="51E6AE2C" w14:textId="77777777" w:rsidR="002D35F4" w:rsidRDefault="002D35F4" w:rsidP="0034076C">
      <w:pPr>
        <w:spacing w:before="200" w:after="200" w:line="360" w:lineRule="auto"/>
        <w:ind w:firstLine="709"/>
        <w:jc w:val="both"/>
        <w:rPr>
          <w:rFonts w:ascii="Times New Roman" w:hAnsi="Times New Roman" w:cs="Times New Roman"/>
          <w:bCs/>
          <w:sz w:val="24"/>
          <w:szCs w:val="24"/>
        </w:rPr>
      </w:pPr>
    </w:p>
    <w:p w14:paraId="57199711" w14:textId="77777777" w:rsidR="00AF6F67" w:rsidRDefault="00AF6F67" w:rsidP="0034076C">
      <w:pPr>
        <w:spacing w:before="200" w:after="200" w:line="360" w:lineRule="auto"/>
        <w:ind w:firstLine="709"/>
        <w:jc w:val="both"/>
        <w:rPr>
          <w:rFonts w:ascii="Times New Roman" w:hAnsi="Times New Roman" w:cs="Times New Roman"/>
          <w:bCs/>
          <w:sz w:val="24"/>
          <w:szCs w:val="24"/>
        </w:rPr>
      </w:pPr>
    </w:p>
    <w:p w14:paraId="2992A5AB" w14:textId="77777777" w:rsidR="00AF6F67" w:rsidRDefault="00AF6F67" w:rsidP="0034076C">
      <w:pPr>
        <w:spacing w:before="200" w:after="200" w:line="360" w:lineRule="auto"/>
        <w:ind w:firstLine="709"/>
        <w:jc w:val="both"/>
        <w:rPr>
          <w:rFonts w:ascii="Times New Roman" w:hAnsi="Times New Roman" w:cs="Times New Roman"/>
          <w:bCs/>
          <w:sz w:val="24"/>
          <w:szCs w:val="24"/>
        </w:rPr>
      </w:pPr>
    </w:p>
    <w:p w14:paraId="6FEBE3A4" w14:textId="77777777" w:rsidR="00AF6F67" w:rsidRDefault="00AF6F67" w:rsidP="0034076C">
      <w:pPr>
        <w:spacing w:before="200" w:after="200" w:line="360" w:lineRule="auto"/>
        <w:ind w:firstLine="709"/>
        <w:jc w:val="both"/>
        <w:rPr>
          <w:rFonts w:ascii="Times New Roman" w:hAnsi="Times New Roman" w:cs="Times New Roman"/>
          <w:bCs/>
          <w:sz w:val="24"/>
          <w:szCs w:val="24"/>
        </w:rPr>
      </w:pPr>
    </w:p>
    <w:p w14:paraId="40C2F291" w14:textId="77777777" w:rsidR="00AF6F67" w:rsidRDefault="00AF6F67" w:rsidP="0034076C">
      <w:pPr>
        <w:spacing w:before="200" w:after="200" w:line="360" w:lineRule="auto"/>
        <w:ind w:firstLine="709"/>
        <w:jc w:val="both"/>
        <w:rPr>
          <w:rFonts w:ascii="Times New Roman" w:hAnsi="Times New Roman" w:cs="Times New Roman"/>
          <w:bCs/>
          <w:sz w:val="24"/>
          <w:szCs w:val="24"/>
        </w:rPr>
      </w:pPr>
    </w:p>
    <w:p w14:paraId="767EC289" w14:textId="30CF1C24" w:rsidR="00927F28" w:rsidRDefault="00927F28" w:rsidP="00752D4E">
      <w:pPr>
        <w:pStyle w:val="Ttulo1"/>
        <w:numPr>
          <w:ilvl w:val="0"/>
          <w:numId w:val="1"/>
        </w:numPr>
        <w:spacing w:line="360" w:lineRule="auto"/>
        <w:jc w:val="both"/>
        <w:rPr>
          <w:rFonts w:ascii="Times New Roman" w:eastAsia="Times New Roman" w:hAnsi="Times New Roman" w:cs="Times New Roman"/>
          <w:b/>
          <w:sz w:val="24"/>
          <w:szCs w:val="24"/>
        </w:rPr>
      </w:pPr>
      <w:bookmarkStart w:id="6" w:name="_Toc214644175"/>
      <w:r w:rsidRPr="00256DDA">
        <w:rPr>
          <w:rFonts w:ascii="Times New Roman" w:eastAsia="Times New Roman" w:hAnsi="Times New Roman" w:cs="Times New Roman"/>
          <w:b/>
          <w:sz w:val="24"/>
          <w:szCs w:val="24"/>
        </w:rPr>
        <w:lastRenderedPageBreak/>
        <w:t xml:space="preserve">REFERÊNCIAS </w:t>
      </w:r>
      <w:r w:rsidR="005D74F6">
        <w:rPr>
          <w:rFonts w:ascii="Times New Roman" w:eastAsia="Times New Roman" w:hAnsi="Times New Roman" w:cs="Times New Roman"/>
          <w:b/>
          <w:sz w:val="24"/>
          <w:szCs w:val="24"/>
        </w:rPr>
        <w:t>BIBLIOGRÁFICAS</w:t>
      </w:r>
      <w:bookmarkEnd w:id="6"/>
    </w:p>
    <w:p w14:paraId="2CADB5CF" w14:textId="07BAB0ED"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Cooke GS, Andrieux-Meyer I, Applegate TL, et al. Accelerating the elimination of viral hepatitis: a Lancet Gastroenterology &amp; Hepatology Commission. Lancet Gastroenterol Hepatol [periódico na internet]. 2019;4(2):135-84. Disponível em: </w:t>
      </w:r>
      <w:hyperlink r:id="rId20" w:history="1">
        <w:r w:rsidR="00AF6F67" w:rsidRPr="00D73213">
          <w:rPr>
            <w:rStyle w:val="Hyperlink"/>
            <w:rFonts w:ascii="Times New Roman" w:hAnsi="Times New Roman" w:cs="Times New Roman"/>
            <w:bCs/>
            <w:sz w:val="24"/>
            <w:szCs w:val="24"/>
          </w:rPr>
          <w:t>https://www.thelancet.com/journals/langas/article/PIIS2468-1253(18)30270-X/abstract</w:t>
        </w:r>
      </w:hyperlink>
      <w:r w:rsidR="00AF6F67">
        <w:rPr>
          <w:rFonts w:ascii="Times New Roman" w:hAnsi="Times New Roman" w:cs="Times New Roman"/>
          <w:bCs/>
          <w:sz w:val="24"/>
          <w:szCs w:val="24"/>
        </w:rPr>
        <w:t xml:space="preserve"> </w:t>
      </w:r>
      <w:r w:rsidRPr="00C73513">
        <w:rPr>
          <w:rFonts w:ascii="Times New Roman" w:hAnsi="Times New Roman" w:cs="Times New Roman"/>
          <w:bCs/>
          <w:sz w:val="24"/>
          <w:szCs w:val="24"/>
        </w:rPr>
        <w:t>[2025 mai 12].</w:t>
      </w:r>
    </w:p>
    <w:p w14:paraId="1F248404" w14:textId="2B6DD254"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Razavi H. Global Epidemiology of Viral Hepatitis. Gastroenterol Clin North Am [periódico na internet]. 2020;49(2):179-89. Disponível em: </w:t>
      </w:r>
      <w:hyperlink r:id="rId21" w:history="1">
        <w:r w:rsidR="00AF6F67" w:rsidRPr="00D73213">
          <w:rPr>
            <w:rStyle w:val="Hyperlink"/>
            <w:rFonts w:ascii="Times New Roman" w:hAnsi="Times New Roman" w:cs="Times New Roman"/>
            <w:bCs/>
            <w:sz w:val="24"/>
            <w:szCs w:val="24"/>
          </w:rPr>
          <w:t>https://www.sciencedirect.com/science/article/abs/pii/S0889855320300017?via%3Dihub</w:t>
        </w:r>
      </w:hyperlink>
      <w:r w:rsidR="00AF6F67">
        <w:rPr>
          <w:rFonts w:ascii="Times New Roman" w:hAnsi="Times New Roman" w:cs="Times New Roman"/>
          <w:bCs/>
          <w:sz w:val="24"/>
          <w:szCs w:val="24"/>
        </w:rPr>
        <w:t xml:space="preserve"> </w:t>
      </w:r>
      <w:r w:rsidR="00AF6F67" w:rsidRPr="00AF6F67">
        <w:rPr>
          <w:rFonts w:ascii="Times New Roman" w:hAnsi="Times New Roman" w:cs="Times New Roman"/>
          <w:bCs/>
          <w:sz w:val="24"/>
          <w:szCs w:val="24"/>
        </w:rPr>
        <w:t xml:space="preserve"> </w:t>
      </w:r>
      <w:r w:rsidRPr="00C73513">
        <w:rPr>
          <w:rFonts w:ascii="Times New Roman" w:hAnsi="Times New Roman" w:cs="Times New Roman"/>
          <w:bCs/>
          <w:sz w:val="24"/>
          <w:szCs w:val="24"/>
        </w:rPr>
        <w:t>[2025 mai 12].</w:t>
      </w:r>
    </w:p>
    <w:p w14:paraId="56E961AC" w14:textId="4164B218"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Pisano MB, Giadans CG, Flichman DM, et al. Viral hepatitis update: Progress and perspectives. World J Gastroenterol [periódico na internet]. 2021;27(26):4018-44. Disponível em: </w:t>
      </w:r>
      <w:hyperlink r:id="rId22" w:history="1">
        <w:r w:rsidR="000548E7" w:rsidRPr="00D73213">
          <w:rPr>
            <w:rStyle w:val="Hyperlink"/>
            <w:rFonts w:ascii="Times New Roman" w:hAnsi="Times New Roman" w:cs="Times New Roman"/>
            <w:bCs/>
            <w:sz w:val="24"/>
            <w:szCs w:val="24"/>
          </w:rPr>
          <w:t>https://www.wjgnet.com/1007-9327/full/v27/i26/4018.htm</w:t>
        </w:r>
      </w:hyperlink>
      <w:r w:rsidR="000548E7">
        <w:rPr>
          <w:rFonts w:ascii="Times New Roman" w:hAnsi="Times New Roman" w:cs="Times New Roman"/>
          <w:bCs/>
          <w:sz w:val="24"/>
          <w:szCs w:val="24"/>
        </w:rPr>
        <w:t xml:space="preserve"> </w:t>
      </w:r>
      <w:r w:rsidRPr="00C73513">
        <w:rPr>
          <w:rFonts w:ascii="Times New Roman" w:hAnsi="Times New Roman" w:cs="Times New Roman"/>
          <w:bCs/>
          <w:sz w:val="24"/>
          <w:szCs w:val="24"/>
        </w:rPr>
        <w:t>[2025 mai 14].</w:t>
      </w:r>
    </w:p>
    <w:p w14:paraId="5254E39E"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World Health Organization. Hepatitis B; Key Facts [documento na internet]. Genebra: WHO; 2021. Disponível em: </w:t>
      </w:r>
      <w:hyperlink r:id="rId23" w:tgtFrame="_blank" w:history="1">
        <w:r w:rsidRPr="00C73513">
          <w:rPr>
            <w:rStyle w:val="Hyperlink"/>
            <w:rFonts w:ascii="Times New Roman" w:hAnsi="Times New Roman" w:cs="Times New Roman"/>
            <w:bCs/>
            <w:sz w:val="24"/>
            <w:szCs w:val="24"/>
          </w:rPr>
          <w:t>https://www.who.int/news-room/fact-sheets/detail/hepatitis-b</w:t>
        </w:r>
      </w:hyperlink>
      <w:r w:rsidRPr="00C73513">
        <w:rPr>
          <w:rFonts w:ascii="Times New Roman" w:hAnsi="Times New Roman" w:cs="Times New Roman"/>
          <w:bCs/>
          <w:sz w:val="24"/>
          <w:szCs w:val="24"/>
        </w:rPr>
        <w:t xml:space="preserve"> [2025 mai 15].</w:t>
      </w:r>
    </w:p>
    <w:p w14:paraId="1DACFFF7"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Polaris Observatory HCV Collaborators. Global change in hepatitis C virus prevalence and cascade of care between 2015 and 2020: a modelling study. Lancet Gastroenterol Hepatol [periódico na internet]. 2022;7(5):396-415. Disponível em: </w:t>
      </w:r>
      <w:hyperlink r:id="rId24" w:tgtFrame="_blank" w:history="1">
        <w:r w:rsidRPr="00C73513">
          <w:rPr>
            <w:rStyle w:val="Hyperlink"/>
            <w:rFonts w:ascii="Times New Roman" w:hAnsi="Times New Roman" w:cs="Times New Roman"/>
            <w:bCs/>
            <w:sz w:val="24"/>
            <w:szCs w:val="24"/>
          </w:rPr>
          <w:t>https://doi.org/10.1016/S2468-1253(21)00472-6</w:t>
        </w:r>
      </w:hyperlink>
      <w:r w:rsidRPr="00C73513">
        <w:rPr>
          <w:rFonts w:ascii="Times New Roman" w:hAnsi="Times New Roman" w:cs="Times New Roman"/>
          <w:bCs/>
          <w:sz w:val="24"/>
          <w:szCs w:val="24"/>
        </w:rPr>
        <w:t xml:space="preserve"> [2025 mai 15].</w:t>
      </w:r>
    </w:p>
    <w:p w14:paraId="10E458DC"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Desai A, Sandhu S, Lai JP, Sandhu DS. Hepatocellular carcinoma in non-cirrhotic liver: A comprehensive review. World J Hepatol [periódico na internet]. 2019;11(1):1-18. Disponível em: </w:t>
      </w:r>
      <w:hyperlink r:id="rId25" w:tgtFrame="_blank" w:history="1">
        <w:r w:rsidRPr="00C73513">
          <w:rPr>
            <w:rStyle w:val="Hyperlink"/>
            <w:rFonts w:ascii="Times New Roman" w:hAnsi="Times New Roman" w:cs="Times New Roman"/>
            <w:bCs/>
            <w:sz w:val="24"/>
            <w:szCs w:val="24"/>
          </w:rPr>
          <w:t>https://doi.org/10.4254/wjh.v11.i1.1</w:t>
        </w:r>
      </w:hyperlink>
      <w:r w:rsidRPr="00C73513">
        <w:rPr>
          <w:rFonts w:ascii="Times New Roman" w:hAnsi="Times New Roman" w:cs="Times New Roman"/>
          <w:bCs/>
          <w:sz w:val="24"/>
          <w:szCs w:val="24"/>
        </w:rPr>
        <w:t xml:space="preserve"> [2025 mai 18].</w:t>
      </w:r>
    </w:p>
    <w:p w14:paraId="2331B741"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Bixler D, Zhong Y, Ly KN, et al. Mortality among patients with chronic hepatitis B infection: the Chronic Hepatitis Cohort Study (CHeCS). Clin Infect Dis [periódico na internet]. 2019;68(6):956-63. Disponível em: </w:t>
      </w:r>
      <w:hyperlink r:id="rId26" w:tgtFrame="_blank" w:history="1">
        <w:r w:rsidRPr="00C73513">
          <w:rPr>
            <w:rStyle w:val="Hyperlink"/>
            <w:rFonts w:ascii="Times New Roman" w:hAnsi="Times New Roman" w:cs="Times New Roman"/>
            <w:bCs/>
            <w:sz w:val="24"/>
            <w:szCs w:val="24"/>
          </w:rPr>
          <w:t>https://doi.org/10.1093/cid/ciy597</w:t>
        </w:r>
      </w:hyperlink>
      <w:r w:rsidRPr="00C73513">
        <w:rPr>
          <w:rFonts w:ascii="Times New Roman" w:hAnsi="Times New Roman" w:cs="Times New Roman"/>
          <w:bCs/>
          <w:sz w:val="24"/>
          <w:szCs w:val="24"/>
        </w:rPr>
        <w:t xml:space="preserve"> [2025 mai 20].</w:t>
      </w:r>
    </w:p>
    <w:p w14:paraId="45500F75"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Nguyen MH, Wong G, Gane E, et al. Hepatitis B Virus: Advances in Prevention, Diagnosis, and Therapy. Clin Microbiol Rev [periódico na internet]. 2020;33(3):e00046-19. Disponível em: </w:t>
      </w:r>
      <w:hyperlink r:id="rId27" w:tgtFrame="_blank" w:history="1">
        <w:r w:rsidRPr="00C73513">
          <w:rPr>
            <w:rStyle w:val="Hyperlink"/>
            <w:rFonts w:ascii="Times New Roman" w:hAnsi="Times New Roman" w:cs="Times New Roman"/>
            <w:bCs/>
            <w:sz w:val="24"/>
            <w:szCs w:val="24"/>
          </w:rPr>
          <w:t>https://doi.org/10.1128/CMR.00046-19</w:t>
        </w:r>
      </w:hyperlink>
      <w:r w:rsidRPr="00C73513">
        <w:rPr>
          <w:rFonts w:ascii="Times New Roman" w:hAnsi="Times New Roman" w:cs="Times New Roman"/>
          <w:bCs/>
          <w:sz w:val="24"/>
          <w:szCs w:val="24"/>
        </w:rPr>
        <w:t xml:space="preserve"> [2025 mai 22].</w:t>
      </w:r>
    </w:p>
    <w:p w14:paraId="2B6DC2FD"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Pawlotsky JM, et al. EASL recommendations on treatment of hepatitis C: final update of the series. J Hepatol [periódico na internet]. 2020;73(5):1170-218. Disponível em: </w:t>
      </w:r>
      <w:hyperlink r:id="rId28" w:tgtFrame="_blank" w:history="1">
        <w:r w:rsidRPr="00C73513">
          <w:rPr>
            <w:rStyle w:val="Hyperlink"/>
            <w:rFonts w:ascii="Times New Roman" w:hAnsi="Times New Roman" w:cs="Times New Roman"/>
            <w:bCs/>
            <w:sz w:val="24"/>
            <w:szCs w:val="24"/>
          </w:rPr>
          <w:t>https://doi.org/10.1016/j.jhep.2020.08.018</w:t>
        </w:r>
      </w:hyperlink>
      <w:r w:rsidRPr="00C73513">
        <w:rPr>
          <w:rFonts w:ascii="Times New Roman" w:hAnsi="Times New Roman" w:cs="Times New Roman"/>
          <w:bCs/>
          <w:sz w:val="24"/>
          <w:szCs w:val="24"/>
        </w:rPr>
        <w:t xml:space="preserve"> [2025 mai 25].</w:t>
      </w:r>
    </w:p>
    <w:p w14:paraId="2CDE2254"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Ministério da Saúde (BR). Secretaria de Vigilância em Saúde e Ambiente. Departamento de HIV/Aids, Tuberculose, Hepatites Virais e Infecções Sexualmente Transmissíveis. Boletim Epidemiológico: Hepatites Virais 2024 [documento na internet]. Brasília: Ministério da Saúde; 2024. Disponível em: </w:t>
      </w:r>
      <w:hyperlink r:id="rId29" w:tgtFrame="_blank" w:history="1">
        <w:r w:rsidRPr="00C73513">
          <w:rPr>
            <w:rStyle w:val="Hyperlink"/>
            <w:rFonts w:ascii="Times New Roman" w:hAnsi="Times New Roman" w:cs="Times New Roman"/>
            <w:bCs/>
            <w:sz w:val="24"/>
            <w:szCs w:val="24"/>
          </w:rPr>
          <w:t>https://www.gov.br/saude/pt-br/centrais-de-</w:t>
        </w:r>
        <w:r w:rsidRPr="00C73513">
          <w:rPr>
            <w:rStyle w:val="Hyperlink"/>
            <w:rFonts w:ascii="Times New Roman" w:hAnsi="Times New Roman" w:cs="Times New Roman"/>
            <w:bCs/>
            <w:sz w:val="24"/>
            <w:szCs w:val="24"/>
          </w:rPr>
          <w:lastRenderedPageBreak/>
          <w:t>conteudo/publicacoes/boletins/epidemiologicos/especiais/2024/boletim-epidemiologico-de-hepatites-virais-2024.pdf</w:t>
        </w:r>
      </w:hyperlink>
      <w:r w:rsidRPr="00C73513">
        <w:rPr>
          <w:rFonts w:ascii="Times New Roman" w:hAnsi="Times New Roman" w:cs="Times New Roman"/>
          <w:bCs/>
          <w:sz w:val="24"/>
          <w:szCs w:val="24"/>
        </w:rPr>
        <w:t xml:space="preserve"> [2025 mai 26].</w:t>
      </w:r>
    </w:p>
    <w:p w14:paraId="60D7AFC1" w14:textId="721CACD6"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Francki RIB, Fauquet CM, Knudson DL, Brown F. Classification and Nomenclature of Viruses. Fifth Report of the International Committee on Taxonomy of Viruses. Nova York: Springer; 1991. </w:t>
      </w:r>
    </w:p>
    <w:p w14:paraId="4D7E64A4"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Pourkarim MR, Amini-Bavil-Olyaee S, Kurbanov F, Van Ranst M, Tacke F. Molecular identification of hepatitis B virus genotypes/subgenotypes: revised classification hurdles and updated resolutions. World J Gastroenterol [periódico na internet]. 2014;20(23):7152-68. Disponível em: </w:t>
      </w:r>
      <w:hyperlink r:id="rId30" w:tgtFrame="_blank" w:history="1">
        <w:r w:rsidRPr="00C73513">
          <w:rPr>
            <w:rStyle w:val="Hyperlink"/>
            <w:rFonts w:ascii="Times New Roman" w:hAnsi="Times New Roman" w:cs="Times New Roman"/>
            <w:bCs/>
            <w:sz w:val="24"/>
            <w:szCs w:val="24"/>
          </w:rPr>
          <w:t>https://doi.org/10.3748/wjg.v20.i23.7152</w:t>
        </w:r>
      </w:hyperlink>
      <w:r w:rsidRPr="00C73513">
        <w:rPr>
          <w:rFonts w:ascii="Times New Roman" w:hAnsi="Times New Roman" w:cs="Times New Roman"/>
          <w:bCs/>
          <w:sz w:val="24"/>
          <w:szCs w:val="24"/>
        </w:rPr>
        <w:t xml:space="preserve"> [2025 mai 28].</w:t>
      </w:r>
    </w:p>
    <w:p w14:paraId="04E7C624"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Wolf JM, Pereira VRZB, Simon D, Lunge VR. Temporal and geographic spreading of hepatitis B virus genotype A (HBV-A) in Brazil and the Americas. J Viral Hepat [periódico na internet]. 2021;28(8):1130-40. Disponível em: </w:t>
      </w:r>
      <w:hyperlink r:id="rId31" w:tgtFrame="_blank" w:history="1">
        <w:r w:rsidRPr="00C73513">
          <w:rPr>
            <w:rStyle w:val="Hyperlink"/>
            <w:rFonts w:ascii="Times New Roman" w:hAnsi="Times New Roman" w:cs="Times New Roman"/>
            <w:bCs/>
            <w:sz w:val="24"/>
            <w:szCs w:val="24"/>
          </w:rPr>
          <w:t>https://doi.org/10.1111/jvh.13527</w:t>
        </w:r>
      </w:hyperlink>
      <w:r w:rsidRPr="00C73513">
        <w:rPr>
          <w:rFonts w:ascii="Times New Roman" w:hAnsi="Times New Roman" w:cs="Times New Roman"/>
          <w:bCs/>
          <w:sz w:val="24"/>
          <w:szCs w:val="24"/>
        </w:rPr>
        <w:t xml:space="preserve"> [2025 mai 29].</w:t>
      </w:r>
    </w:p>
    <w:p w14:paraId="4AA90F65"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World Health Organization. Global Health Sector Strategy on Viral Hepatitis 2016-2021. Towards Ending Viral Hepatitis 2016 [documento na internet]. Genebra: WHO; 2016. Disponível em: </w:t>
      </w:r>
      <w:hyperlink r:id="rId32" w:tgtFrame="_blank" w:history="1">
        <w:r w:rsidRPr="00C73513">
          <w:rPr>
            <w:rStyle w:val="Hyperlink"/>
            <w:rFonts w:ascii="Times New Roman" w:hAnsi="Times New Roman" w:cs="Times New Roman"/>
            <w:bCs/>
            <w:sz w:val="24"/>
            <w:szCs w:val="24"/>
          </w:rPr>
          <w:t>http://www.who.int/hepatitis/strategy2016-2021/ghss-hep/en/</w:t>
        </w:r>
      </w:hyperlink>
      <w:r w:rsidRPr="00C73513">
        <w:rPr>
          <w:rFonts w:ascii="Times New Roman" w:hAnsi="Times New Roman" w:cs="Times New Roman"/>
          <w:bCs/>
          <w:sz w:val="24"/>
          <w:szCs w:val="24"/>
        </w:rPr>
        <w:t xml:space="preserve"> [2025 mai 30].</w:t>
      </w:r>
    </w:p>
    <w:p w14:paraId="52C077FF"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Lin CL, Kao JH. Natural history of acute and chronic hepatitis B: The role of HBV genotypes and mutants. Best Pract Res Clin Gastroenterol [periódico na internet]. 2017;31:249-55. Disponível em: </w:t>
      </w:r>
      <w:hyperlink r:id="rId33" w:tgtFrame="_blank" w:history="1">
        <w:r w:rsidRPr="00C73513">
          <w:rPr>
            <w:rStyle w:val="Hyperlink"/>
            <w:rFonts w:ascii="Times New Roman" w:hAnsi="Times New Roman" w:cs="Times New Roman"/>
            <w:bCs/>
            <w:sz w:val="24"/>
            <w:szCs w:val="24"/>
          </w:rPr>
          <w:t>https://doi.org/10.1016/j.bpg.2017.04.010</w:t>
        </w:r>
      </w:hyperlink>
      <w:r w:rsidRPr="00C73513">
        <w:rPr>
          <w:rFonts w:ascii="Times New Roman" w:hAnsi="Times New Roman" w:cs="Times New Roman"/>
          <w:bCs/>
          <w:sz w:val="24"/>
          <w:szCs w:val="24"/>
        </w:rPr>
        <w:t xml:space="preserve"> [2025 jun 01].</w:t>
      </w:r>
    </w:p>
    <w:p w14:paraId="3CC85777"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Chang ML, Liaw YF. Hepatitis B flares in chronic hepatitis B: pathogenesis, natural course, and management. J Hepatol [periódico na internet]. 2014;61(6):1407-17. Disponível em: </w:t>
      </w:r>
      <w:hyperlink r:id="rId34" w:tgtFrame="_blank" w:history="1">
        <w:r w:rsidRPr="00C73513">
          <w:rPr>
            <w:rStyle w:val="Hyperlink"/>
            <w:rFonts w:ascii="Times New Roman" w:hAnsi="Times New Roman" w:cs="Times New Roman"/>
            <w:bCs/>
            <w:sz w:val="24"/>
            <w:szCs w:val="24"/>
          </w:rPr>
          <w:t>https://doi.org/10.1016/j.jhep.2014.08.033</w:t>
        </w:r>
      </w:hyperlink>
      <w:r w:rsidRPr="00C73513">
        <w:rPr>
          <w:rFonts w:ascii="Times New Roman" w:hAnsi="Times New Roman" w:cs="Times New Roman"/>
          <w:bCs/>
          <w:sz w:val="24"/>
          <w:szCs w:val="24"/>
        </w:rPr>
        <w:t xml:space="preserve"> [2025 jun 02].</w:t>
      </w:r>
    </w:p>
    <w:p w14:paraId="6CD0444C"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Souto FJD. Distribution of hepatitis B infection in Brazil: The epidemiological situation at the beginning of the 21st century. Rev Soc Bras Med Trop [periódico na internet]. 2016;49(1):11-23. Disponível em: </w:t>
      </w:r>
      <w:hyperlink r:id="rId35" w:tgtFrame="_blank" w:history="1">
        <w:r w:rsidRPr="00C73513">
          <w:rPr>
            <w:rStyle w:val="Hyperlink"/>
            <w:rFonts w:ascii="Times New Roman" w:hAnsi="Times New Roman" w:cs="Times New Roman"/>
            <w:bCs/>
            <w:sz w:val="24"/>
            <w:szCs w:val="24"/>
          </w:rPr>
          <w:t>https://doi.org/10.1590/0037-8682-0176-2015</w:t>
        </w:r>
      </w:hyperlink>
      <w:r w:rsidRPr="00C73513">
        <w:rPr>
          <w:rFonts w:ascii="Times New Roman" w:hAnsi="Times New Roman" w:cs="Times New Roman"/>
          <w:bCs/>
          <w:sz w:val="24"/>
          <w:szCs w:val="24"/>
        </w:rPr>
        <w:t xml:space="preserve"> [2025 jun 03].</w:t>
      </w:r>
    </w:p>
    <w:p w14:paraId="0CD9102C"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Rosenblum LS, Villarino ME, Nainan OV, Melish ME, Hadler SC, Pinsky PP, et al. Hepatitis A outbreak in a neonatal intensive care unit: risk factors for transmission and evidence of prolonged viral excretion among preterm infants. J Infect Dis [periódico na internet]. 1991;164(3):476-82. Disponível em: </w:t>
      </w:r>
      <w:hyperlink r:id="rId36" w:tgtFrame="_blank" w:history="1">
        <w:r w:rsidRPr="00C73513">
          <w:rPr>
            <w:rStyle w:val="Hyperlink"/>
            <w:rFonts w:ascii="Times New Roman" w:hAnsi="Times New Roman" w:cs="Times New Roman"/>
            <w:bCs/>
            <w:sz w:val="24"/>
            <w:szCs w:val="24"/>
          </w:rPr>
          <w:t>https://doi.org/10.1093/infdis/164.3.476</w:t>
        </w:r>
      </w:hyperlink>
      <w:r w:rsidRPr="00C73513">
        <w:rPr>
          <w:rFonts w:ascii="Times New Roman" w:hAnsi="Times New Roman" w:cs="Times New Roman"/>
          <w:bCs/>
          <w:sz w:val="24"/>
          <w:szCs w:val="24"/>
        </w:rPr>
        <w:t xml:space="preserve"> [2025 jun 04].</w:t>
      </w:r>
    </w:p>
    <w:p w14:paraId="7E4E257F"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Schillie S, Vellozzi C, Reingold A, Haber P, Ward JW, Nelson NP. Prevention of hepatitis B virus infection in the United States: recommendations of the Advisory Committee on Immunization Practices. MMWR Recomm Rep [periódico na internet]. 2018;67(1):1-31. Disponível em: </w:t>
      </w:r>
      <w:hyperlink r:id="rId37" w:tgtFrame="_blank" w:history="1">
        <w:r w:rsidRPr="00C73513">
          <w:rPr>
            <w:rStyle w:val="Hyperlink"/>
            <w:rFonts w:ascii="Times New Roman" w:hAnsi="Times New Roman" w:cs="Times New Roman"/>
            <w:bCs/>
            <w:sz w:val="24"/>
            <w:szCs w:val="24"/>
          </w:rPr>
          <w:t>https://www.cdc.gov/mmwr/volumes/67/rr/rr6701a1.htm</w:t>
        </w:r>
      </w:hyperlink>
      <w:r w:rsidRPr="00C73513">
        <w:rPr>
          <w:rFonts w:ascii="Times New Roman" w:hAnsi="Times New Roman" w:cs="Times New Roman"/>
          <w:bCs/>
          <w:sz w:val="24"/>
          <w:szCs w:val="24"/>
        </w:rPr>
        <w:t xml:space="preserve"> [2025 jun 05].</w:t>
      </w:r>
    </w:p>
    <w:p w14:paraId="17017E36"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lastRenderedPageBreak/>
        <w:t xml:space="preserve">Wolf JM, Simon D, Lunge VR. Hepatitis B virus genotypes in Brazil: Introduction and dissemination. Infect Genet Evol [periódico na internet]. 2021;93:104936. Disponível em: </w:t>
      </w:r>
      <w:hyperlink r:id="rId38" w:tgtFrame="_blank" w:history="1">
        <w:r w:rsidRPr="00C73513">
          <w:rPr>
            <w:rStyle w:val="Hyperlink"/>
            <w:rFonts w:ascii="Times New Roman" w:hAnsi="Times New Roman" w:cs="Times New Roman"/>
            <w:bCs/>
            <w:sz w:val="24"/>
            <w:szCs w:val="24"/>
          </w:rPr>
          <w:t>https://doi.org/10.1016/j.meegid.2021.104936</w:t>
        </w:r>
      </w:hyperlink>
      <w:r w:rsidRPr="00C73513">
        <w:rPr>
          <w:rFonts w:ascii="Times New Roman" w:hAnsi="Times New Roman" w:cs="Times New Roman"/>
          <w:bCs/>
          <w:sz w:val="24"/>
          <w:szCs w:val="24"/>
        </w:rPr>
        <w:t xml:space="preserve"> [2025 jun 06].</w:t>
      </w:r>
    </w:p>
    <w:p w14:paraId="2F53A7DF"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Ximenes RAA, Figueiredo GM, Cardoso MRA, Stein AT, Moreira RC, Coral G, et al. Population-Based Multicentric Survey of Hepatitis B Infection and Risk Factors in the North, South, and Southeast Regions of Brazil, 10–20 Years After the Beginning of Vaccination. Am J Trop Med Hyg [periódico na internet]. 2015;93(6):1341-48. Disponível em: </w:t>
      </w:r>
      <w:hyperlink r:id="rId39" w:tgtFrame="_blank" w:history="1">
        <w:r w:rsidRPr="00C73513">
          <w:rPr>
            <w:rStyle w:val="Hyperlink"/>
            <w:rFonts w:ascii="Times New Roman" w:hAnsi="Times New Roman" w:cs="Times New Roman"/>
            <w:bCs/>
            <w:sz w:val="24"/>
            <w:szCs w:val="24"/>
          </w:rPr>
          <w:t>https://doi.org/10.4269/ajtmh.15-0216</w:t>
        </w:r>
      </w:hyperlink>
      <w:r w:rsidRPr="00C73513">
        <w:rPr>
          <w:rFonts w:ascii="Times New Roman" w:hAnsi="Times New Roman" w:cs="Times New Roman"/>
          <w:bCs/>
          <w:sz w:val="24"/>
          <w:szCs w:val="24"/>
        </w:rPr>
        <w:t xml:space="preserve"> [2025 jun 07].</w:t>
      </w:r>
    </w:p>
    <w:p w14:paraId="375BF014"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Pereira VRZB, Wolf JM, Luz CADS, Stumm GZ, Boeira TDR, Galvan J, et al. Risk factors for hepatitis B transmission in South Brazil. Mem Inst Oswaldo Cruz [periódico na internet]. 2017;112(8):544-50. Disponível em: </w:t>
      </w:r>
      <w:hyperlink r:id="rId40" w:tgtFrame="_blank" w:history="1">
        <w:r w:rsidRPr="00C73513">
          <w:rPr>
            <w:rStyle w:val="Hyperlink"/>
            <w:rFonts w:ascii="Times New Roman" w:hAnsi="Times New Roman" w:cs="Times New Roman"/>
            <w:bCs/>
            <w:sz w:val="24"/>
            <w:szCs w:val="24"/>
          </w:rPr>
          <w:t>https://doi.org/10.1590/0074-02760170075</w:t>
        </w:r>
      </w:hyperlink>
      <w:r w:rsidRPr="00C73513">
        <w:rPr>
          <w:rFonts w:ascii="Times New Roman" w:hAnsi="Times New Roman" w:cs="Times New Roman"/>
          <w:bCs/>
          <w:sz w:val="24"/>
          <w:szCs w:val="24"/>
        </w:rPr>
        <w:t xml:space="preserve"> [2025 jun 08].</w:t>
      </w:r>
    </w:p>
    <w:p w14:paraId="5D15EF7A"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Liu CH, Kao JH. Acute hepatitis C virus infection: clinical update and remaining challenges. Clin Mol Hepatol [periódico na internet]. 2023;29(3):623-42. Disponível em: </w:t>
      </w:r>
      <w:hyperlink r:id="rId41" w:tgtFrame="_blank" w:history="1">
        <w:r w:rsidRPr="00C73513">
          <w:rPr>
            <w:rStyle w:val="Hyperlink"/>
            <w:rFonts w:ascii="Times New Roman" w:hAnsi="Times New Roman" w:cs="Times New Roman"/>
            <w:bCs/>
            <w:sz w:val="24"/>
            <w:szCs w:val="24"/>
          </w:rPr>
          <w:t>https://doi.org/10.3350/cmh.2022.0349</w:t>
        </w:r>
      </w:hyperlink>
      <w:r w:rsidRPr="00C73513">
        <w:rPr>
          <w:rFonts w:ascii="Times New Roman" w:hAnsi="Times New Roman" w:cs="Times New Roman"/>
          <w:bCs/>
          <w:sz w:val="24"/>
          <w:szCs w:val="24"/>
        </w:rPr>
        <w:t xml:space="preserve"> [2025 jun 09].</w:t>
      </w:r>
    </w:p>
    <w:p w14:paraId="2D910EB6"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Stroffolini T, Stroffolini G. Prevalence and Modes of Transmission of Hepatitis C Virus Infection: Historical Worldwide Review. Viruses [periódico na internet]. 2024;16(7):1115. Disponível em: </w:t>
      </w:r>
      <w:hyperlink r:id="rId42" w:tgtFrame="_blank" w:history="1">
        <w:r w:rsidRPr="00C73513">
          <w:rPr>
            <w:rStyle w:val="Hyperlink"/>
            <w:rFonts w:ascii="Times New Roman" w:hAnsi="Times New Roman" w:cs="Times New Roman"/>
            <w:bCs/>
            <w:sz w:val="24"/>
            <w:szCs w:val="24"/>
          </w:rPr>
          <w:t>https://doi.org/10.3390/v16071115</w:t>
        </w:r>
      </w:hyperlink>
      <w:r w:rsidRPr="00C73513">
        <w:rPr>
          <w:rFonts w:ascii="Times New Roman" w:hAnsi="Times New Roman" w:cs="Times New Roman"/>
          <w:bCs/>
          <w:sz w:val="24"/>
          <w:szCs w:val="24"/>
        </w:rPr>
        <w:t xml:space="preserve"> [2025 jun 10].</w:t>
      </w:r>
    </w:p>
    <w:p w14:paraId="30EE2B78"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Móia LJM, et al. Aspectos epidemiológicos de pacientes com doença renal crônica e hepatite C submetidos à hemodiálise em Belém (PA). In: Protocolo Clínico e Diretrizes Terapêuticas para Hepatite C e Coinfecções [documento na internet]. Brasília: CONITEC; 2015. Disponível em: </w:t>
      </w:r>
      <w:hyperlink r:id="rId43" w:tgtFrame="_blank" w:history="1">
        <w:r w:rsidRPr="00C73513">
          <w:rPr>
            <w:rStyle w:val="Hyperlink"/>
            <w:rFonts w:ascii="Times New Roman" w:hAnsi="Times New Roman" w:cs="Times New Roman"/>
            <w:bCs/>
            <w:sz w:val="24"/>
            <w:szCs w:val="24"/>
          </w:rPr>
          <w:t>https://www.gov.br/conitec/pt-br/midias/consultas/relatorios/2015/pcdt_hepatitec_c_coifeccoes.pdf</w:t>
        </w:r>
      </w:hyperlink>
      <w:r w:rsidRPr="00C73513">
        <w:rPr>
          <w:rFonts w:ascii="Times New Roman" w:hAnsi="Times New Roman" w:cs="Times New Roman"/>
          <w:bCs/>
          <w:sz w:val="24"/>
          <w:szCs w:val="24"/>
        </w:rPr>
        <w:t xml:space="preserve"> [2025 jun 11].</w:t>
      </w:r>
    </w:p>
    <w:p w14:paraId="3C065BC8"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Machado SM, Vigani AG, Leite AG, Diaz ACM, Ferreira PRA, Carnaúba-Júnior D, et al. Effectiveness of direct-acting antivirals for hepatitis C virus infection in hepatitis C/HIV coinfected individuals: A multicenter study. Medicine (Baltimore) [periódico na internet]. 2020;99(30):e21270. Disponível em: </w:t>
      </w:r>
      <w:hyperlink r:id="rId44" w:tgtFrame="_blank" w:history="1">
        <w:r w:rsidRPr="00C73513">
          <w:rPr>
            <w:rStyle w:val="Hyperlink"/>
            <w:rFonts w:ascii="Times New Roman" w:hAnsi="Times New Roman" w:cs="Times New Roman"/>
            <w:bCs/>
            <w:sz w:val="24"/>
            <w:szCs w:val="24"/>
          </w:rPr>
          <w:t>https://doi.org/10.1097/MD.0000000000021270</w:t>
        </w:r>
      </w:hyperlink>
      <w:r w:rsidRPr="00C73513">
        <w:rPr>
          <w:rFonts w:ascii="Times New Roman" w:hAnsi="Times New Roman" w:cs="Times New Roman"/>
          <w:bCs/>
          <w:sz w:val="24"/>
          <w:szCs w:val="24"/>
        </w:rPr>
        <w:t xml:space="preserve"> [2025 jun 12].</w:t>
      </w:r>
    </w:p>
    <w:p w14:paraId="5AFBE28B"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Ministério da Saúde (BR). Plano para eliminação da hepatite C no Brasil [documento na internet]. Brasília: Ministério da Saúde; 2019. Disponível em: </w:t>
      </w:r>
      <w:hyperlink r:id="rId45" w:tgtFrame="_blank" w:history="1">
        <w:r w:rsidRPr="00C73513">
          <w:rPr>
            <w:rStyle w:val="Hyperlink"/>
            <w:rFonts w:ascii="Times New Roman" w:hAnsi="Times New Roman" w:cs="Times New Roman"/>
            <w:bCs/>
            <w:sz w:val="24"/>
            <w:szCs w:val="24"/>
          </w:rPr>
          <w:t>https://www.gov.br/saude/pt-br/centrais-de-conteudo/publicacoes/svsa/hepatites/plano-para-eliminacao-da-hepatite-c-no-brasil</w:t>
        </w:r>
      </w:hyperlink>
      <w:r w:rsidRPr="00C73513">
        <w:rPr>
          <w:rFonts w:ascii="Times New Roman" w:hAnsi="Times New Roman" w:cs="Times New Roman"/>
          <w:bCs/>
          <w:sz w:val="24"/>
          <w:szCs w:val="24"/>
        </w:rPr>
        <w:t xml:space="preserve"> [2025 jun 13].</w:t>
      </w:r>
    </w:p>
    <w:p w14:paraId="0C2ED500"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Instituto Brasileiro de Geografia e Estatística (IBGE). Censo 2022 [documento na internet]. Brasília: IBGE; 2022. Disponível em: </w:t>
      </w:r>
      <w:hyperlink r:id="rId46" w:tgtFrame="_blank" w:history="1">
        <w:r w:rsidRPr="00C73513">
          <w:rPr>
            <w:rStyle w:val="Hyperlink"/>
            <w:rFonts w:ascii="Times New Roman" w:hAnsi="Times New Roman" w:cs="Times New Roman"/>
            <w:bCs/>
            <w:sz w:val="24"/>
            <w:szCs w:val="24"/>
          </w:rPr>
          <w:t>https://censo2022.ibge.gov.br/</w:t>
        </w:r>
      </w:hyperlink>
      <w:r w:rsidRPr="00C73513">
        <w:rPr>
          <w:rFonts w:ascii="Times New Roman" w:hAnsi="Times New Roman" w:cs="Times New Roman"/>
          <w:bCs/>
          <w:sz w:val="24"/>
          <w:szCs w:val="24"/>
        </w:rPr>
        <w:t xml:space="preserve"> [2025 jun 14].</w:t>
      </w:r>
    </w:p>
    <w:p w14:paraId="7BAE270E"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Usuda D, Kaneoka Y, Ono R, Kato M, Sugawara Y, Shimizu R, et al. Current perspectives of viral hepatitis. World J Gastroenterol [periódico na internet]. 2024;30(18):2402-17. Disponível em: </w:t>
      </w:r>
      <w:hyperlink r:id="rId47" w:tgtFrame="_blank" w:history="1">
        <w:r w:rsidRPr="00C73513">
          <w:rPr>
            <w:rStyle w:val="Hyperlink"/>
            <w:rFonts w:ascii="Times New Roman" w:hAnsi="Times New Roman" w:cs="Times New Roman"/>
            <w:bCs/>
            <w:sz w:val="24"/>
            <w:szCs w:val="24"/>
          </w:rPr>
          <w:t>https://doi.org/10.3748/wjg.v30.i18.2402</w:t>
        </w:r>
      </w:hyperlink>
      <w:r w:rsidRPr="00C73513">
        <w:rPr>
          <w:rFonts w:ascii="Times New Roman" w:hAnsi="Times New Roman" w:cs="Times New Roman"/>
          <w:bCs/>
          <w:sz w:val="24"/>
          <w:szCs w:val="24"/>
        </w:rPr>
        <w:t xml:space="preserve"> [2025 jun 15].</w:t>
      </w:r>
    </w:p>
    <w:p w14:paraId="631D3DEB"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lastRenderedPageBreak/>
        <w:t xml:space="preserve">Ministério da Saúde (BR). Portaria de Consolidação nº 4, de 28 de setembro de 2017 [documento na internet]. Brasília: Ministério da Saúde; 2017. Disponível em: </w:t>
      </w:r>
      <w:hyperlink r:id="rId48" w:tgtFrame="_blank" w:history="1">
        <w:r w:rsidRPr="00C73513">
          <w:rPr>
            <w:rStyle w:val="Hyperlink"/>
            <w:rFonts w:ascii="Times New Roman" w:hAnsi="Times New Roman" w:cs="Times New Roman"/>
            <w:bCs/>
            <w:sz w:val="24"/>
            <w:szCs w:val="24"/>
          </w:rPr>
          <w:t>https://bvsms.saude.gov.br/bvs/saudelegis/gm/2017/prc0004_03_10_2017.html</w:t>
        </w:r>
      </w:hyperlink>
      <w:r w:rsidRPr="00C73513">
        <w:rPr>
          <w:rFonts w:ascii="Times New Roman" w:hAnsi="Times New Roman" w:cs="Times New Roman"/>
          <w:bCs/>
          <w:sz w:val="24"/>
          <w:szCs w:val="24"/>
        </w:rPr>
        <w:t xml:space="preserve"> [2025 jun 16].</w:t>
      </w:r>
    </w:p>
    <w:p w14:paraId="73DD47B2"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As regulamentações de proteção de dados pessoais no Brasil e em Portugal: o tratamento de dados relativos à saúde no âmbito do Projeto “Sífilis Não”. Cad Ibero Am Direito Sanit [periódico na internet]. 2022;11(1):10-31. Disponível em: </w:t>
      </w:r>
      <w:hyperlink r:id="rId49" w:tgtFrame="_blank" w:history="1">
        <w:r w:rsidRPr="00C73513">
          <w:rPr>
            <w:rStyle w:val="Hyperlink"/>
            <w:rFonts w:ascii="Times New Roman" w:hAnsi="Times New Roman" w:cs="Times New Roman"/>
            <w:bCs/>
            <w:sz w:val="24"/>
            <w:szCs w:val="24"/>
          </w:rPr>
          <w:t>https://doi.org/10.17566/ciads.v11i1.820</w:t>
        </w:r>
      </w:hyperlink>
      <w:r w:rsidRPr="00C73513">
        <w:rPr>
          <w:rFonts w:ascii="Times New Roman" w:hAnsi="Times New Roman" w:cs="Times New Roman"/>
          <w:bCs/>
          <w:sz w:val="24"/>
          <w:szCs w:val="24"/>
        </w:rPr>
        <w:t xml:space="preserve"> [2025 jun 17].</w:t>
      </w:r>
    </w:p>
    <w:p w14:paraId="0B146404"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Centers for Disease Control and Prevention (CDC). 2022 Viral Hepatitis Surveillance Report [documento na internet]. Atlanta: CDC; 2024. Disponível em: </w:t>
      </w:r>
      <w:hyperlink r:id="rId50" w:tgtFrame="_blank" w:history="1">
        <w:r w:rsidRPr="00C73513">
          <w:rPr>
            <w:rStyle w:val="Hyperlink"/>
            <w:rFonts w:ascii="Times New Roman" w:hAnsi="Times New Roman" w:cs="Times New Roman"/>
            <w:bCs/>
            <w:sz w:val="24"/>
            <w:szCs w:val="24"/>
          </w:rPr>
          <w:t>https://www.cdc.gov/hepatitis-surveillance-2022/hepatitis-c/figure-3-8.html</w:t>
        </w:r>
      </w:hyperlink>
      <w:r w:rsidRPr="00C73513">
        <w:rPr>
          <w:rFonts w:ascii="Times New Roman" w:hAnsi="Times New Roman" w:cs="Times New Roman"/>
          <w:bCs/>
          <w:sz w:val="24"/>
          <w:szCs w:val="24"/>
        </w:rPr>
        <w:t xml:space="preserve"> [2025 jun 18].</w:t>
      </w:r>
    </w:p>
    <w:p w14:paraId="284D93BE"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Petruzziello A, Marigliano S, Loquercio G, Cozzolino A, Cacciapuoti C. Global epidemiology of hepatitis C virus infection: An up-date of the distribution and circulation of hepatitis C virus genotypes. World J Gastroenterol [periódico na internet]. 2016;22(34):7824-40. Disponível em: </w:t>
      </w:r>
      <w:hyperlink r:id="rId51" w:tgtFrame="_blank" w:history="1">
        <w:r w:rsidRPr="00C73513">
          <w:rPr>
            <w:rStyle w:val="Hyperlink"/>
            <w:rFonts w:ascii="Times New Roman" w:hAnsi="Times New Roman" w:cs="Times New Roman"/>
            <w:bCs/>
            <w:sz w:val="24"/>
            <w:szCs w:val="24"/>
          </w:rPr>
          <w:t>https://doi.org/10.3748/wjg.v22.i34.7824</w:t>
        </w:r>
      </w:hyperlink>
      <w:r w:rsidRPr="00C73513">
        <w:rPr>
          <w:rFonts w:ascii="Times New Roman" w:hAnsi="Times New Roman" w:cs="Times New Roman"/>
          <w:bCs/>
          <w:sz w:val="24"/>
          <w:szCs w:val="24"/>
        </w:rPr>
        <w:t xml:space="preserve"> [2025 jun 19].</w:t>
      </w:r>
    </w:p>
    <w:p w14:paraId="4329B2E5"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Ximenes RAA, Figueiredo GM, Cardoso MRA, Stein AT, Moreira RC, Coral G, et al. Population-Based Multicentric Survey of Hepatitis B Infection and Risk Factors in the North, South, and Southeast Regions of Brazil, 10–20 Years After the Beginning of Vaccination. Am J Trop Med Hyg [periódico na internet]. 2015;93(6):1341-48. Disponível em: </w:t>
      </w:r>
      <w:hyperlink r:id="rId52" w:tgtFrame="_blank" w:history="1">
        <w:r w:rsidRPr="00C73513">
          <w:rPr>
            <w:rStyle w:val="Hyperlink"/>
            <w:rFonts w:ascii="Times New Roman" w:hAnsi="Times New Roman" w:cs="Times New Roman"/>
            <w:bCs/>
            <w:sz w:val="24"/>
            <w:szCs w:val="24"/>
          </w:rPr>
          <w:t>https://doi.org/10.4269/ajtmh.15-0216</w:t>
        </w:r>
      </w:hyperlink>
      <w:r w:rsidRPr="00C73513">
        <w:rPr>
          <w:rFonts w:ascii="Times New Roman" w:hAnsi="Times New Roman" w:cs="Times New Roman"/>
          <w:bCs/>
          <w:sz w:val="24"/>
          <w:szCs w:val="24"/>
        </w:rPr>
        <w:t xml:space="preserve"> [2025 jun 20].</w:t>
      </w:r>
    </w:p>
    <w:p w14:paraId="31C0D0FC"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Rodrigues de Luca A, Maria de Castro J, Cosim L, Augusto Passos R. Capacitação de equipes de saúde sobre testes rápidos contra infecções sexualmente transmissíveis e notificação epidemiológica. Rev Eixos Tech [periódico na internet]. 2024;11(3). Disponível em: </w:t>
      </w:r>
      <w:hyperlink r:id="rId53" w:tgtFrame="_blank" w:history="1">
        <w:r w:rsidRPr="00C73513">
          <w:rPr>
            <w:rStyle w:val="Hyperlink"/>
            <w:rFonts w:ascii="Times New Roman" w:hAnsi="Times New Roman" w:cs="Times New Roman"/>
            <w:bCs/>
            <w:sz w:val="24"/>
            <w:szCs w:val="24"/>
          </w:rPr>
          <w:t>https://doi.org/10.18406/2359-1269v11n32024398</w:t>
        </w:r>
      </w:hyperlink>
      <w:r w:rsidRPr="00C73513">
        <w:rPr>
          <w:rFonts w:ascii="Times New Roman" w:hAnsi="Times New Roman" w:cs="Times New Roman"/>
          <w:bCs/>
          <w:sz w:val="24"/>
          <w:szCs w:val="24"/>
        </w:rPr>
        <w:t xml:space="preserve"> [2025 jun 21].</w:t>
      </w:r>
    </w:p>
    <w:p w14:paraId="4D1E2C90"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Sebastiani G, Gkouvatsos K, Pantopoulos K. Chronic hepatitis C and liver fibrosis. World J Gastroenterol [periódico na internet]. 2014;20(32):11033-53. Disponível em: </w:t>
      </w:r>
      <w:hyperlink r:id="rId54" w:tgtFrame="_blank" w:history="1">
        <w:r w:rsidRPr="00C73513">
          <w:rPr>
            <w:rStyle w:val="Hyperlink"/>
            <w:rFonts w:ascii="Times New Roman" w:hAnsi="Times New Roman" w:cs="Times New Roman"/>
            <w:bCs/>
            <w:sz w:val="24"/>
            <w:szCs w:val="24"/>
          </w:rPr>
          <w:t>https://doi.org/10.3748/wjg.v20.i32.11033</w:t>
        </w:r>
      </w:hyperlink>
      <w:r w:rsidRPr="00C73513">
        <w:rPr>
          <w:rFonts w:ascii="Times New Roman" w:hAnsi="Times New Roman" w:cs="Times New Roman"/>
          <w:bCs/>
          <w:sz w:val="24"/>
          <w:szCs w:val="24"/>
        </w:rPr>
        <w:t xml:space="preserve"> [2025 jun 22].</w:t>
      </w:r>
    </w:p>
    <w:p w14:paraId="19A06210"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Odenwald MA, Paul S. Viral hepatitis: Past, present, and future. World J Gastroenterol [periódico na internet]. 2022;28(14):1405-29. Disponível em: </w:t>
      </w:r>
      <w:hyperlink r:id="rId55" w:tgtFrame="_blank" w:history="1">
        <w:r w:rsidRPr="00C73513">
          <w:rPr>
            <w:rStyle w:val="Hyperlink"/>
            <w:rFonts w:ascii="Times New Roman" w:hAnsi="Times New Roman" w:cs="Times New Roman"/>
            <w:bCs/>
            <w:sz w:val="24"/>
            <w:szCs w:val="24"/>
          </w:rPr>
          <w:t>https://doi.org/10.3748/wjg.v28.i14.1405</w:t>
        </w:r>
      </w:hyperlink>
      <w:r w:rsidRPr="00C73513">
        <w:rPr>
          <w:rFonts w:ascii="Times New Roman" w:hAnsi="Times New Roman" w:cs="Times New Roman"/>
          <w:bCs/>
          <w:sz w:val="24"/>
          <w:szCs w:val="24"/>
        </w:rPr>
        <w:t xml:space="preserve"> [2025 jun 23].</w:t>
      </w:r>
    </w:p>
    <w:p w14:paraId="38DEB9CF"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Blackard JT, Ma G, Limketkai BN, Welge JA, Dryer PD, Martin CM, et al. Variability of the polymerase gene (NS5B) in hepatitis C virus-infected women. J Clin Microbiol [periódico na internet]. 2010;48(11):4256-9. Disponível em: </w:t>
      </w:r>
      <w:hyperlink r:id="rId56" w:tgtFrame="_blank" w:history="1">
        <w:r w:rsidRPr="00C73513">
          <w:rPr>
            <w:rStyle w:val="Hyperlink"/>
            <w:rFonts w:ascii="Times New Roman" w:hAnsi="Times New Roman" w:cs="Times New Roman"/>
            <w:bCs/>
            <w:sz w:val="24"/>
            <w:szCs w:val="24"/>
          </w:rPr>
          <w:t>https://doi.org/10.1128/JCM.01613-10</w:t>
        </w:r>
      </w:hyperlink>
      <w:r w:rsidRPr="00C73513">
        <w:rPr>
          <w:rFonts w:ascii="Times New Roman" w:hAnsi="Times New Roman" w:cs="Times New Roman"/>
          <w:bCs/>
          <w:sz w:val="24"/>
          <w:szCs w:val="24"/>
        </w:rPr>
        <w:t xml:space="preserve"> [2025 jun 24].</w:t>
      </w:r>
    </w:p>
    <w:p w14:paraId="538B044D"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Bartosch B. Hepatitis B and C viruses and hepatocellular carcinoma. Viruses [periódico na internet]. 2010;2(8):1504-9. Disponível em: </w:t>
      </w:r>
      <w:hyperlink r:id="rId57" w:tgtFrame="_blank" w:history="1">
        <w:r w:rsidRPr="00C73513">
          <w:rPr>
            <w:rStyle w:val="Hyperlink"/>
            <w:rFonts w:ascii="Times New Roman" w:hAnsi="Times New Roman" w:cs="Times New Roman"/>
            <w:bCs/>
            <w:sz w:val="24"/>
            <w:szCs w:val="24"/>
          </w:rPr>
          <w:t>https://doi.org/10.3390/v2081504</w:t>
        </w:r>
      </w:hyperlink>
      <w:r w:rsidRPr="00C73513">
        <w:rPr>
          <w:rFonts w:ascii="Times New Roman" w:hAnsi="Times New Roman" w:cs="Times New Roman"/>
          <w:bCs/>
          <w:sz w:val="24"/>
          <w:szCs w:val="24"/>
        </w:rPr>
        <w:t xml:space="preserve"> [2025 jun 25].</w:t>
      </w:r>
    </w:p>
    <w:p w14:paraId="1730F077"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lastRenderedPageBreak/>
        <w:t xml:space="preserve">Leoni S, Casabianca A, Biagioni B, Serio I. Viral hepatitis: Innovations and expectations. World J Gastroenterol [periódico na internet]. 2022;28(5):517-31. Disponível em: </w:t>
      </w:r>
      <w:hyperlink r:id="rId58" w:tgtFrame="_blank" w:history="1">
        <w:r w:rsidRPr="00C73513">
          <w:rPr>
            <w:rStyle w:val="Hyperlink"/>
            <w:rFonts w:ascii="Times New Roman" w:hAnsi="Times New Roman" w:cs="Times New Roman"/>
            <w:bCs/>
            <w:sz w:val="24"/>
            <w:szCs w:val="24"/>
          </w:rPr>
          <w:t>https://doi.org/10.3748/wjg.v28.i5.517</w:t>
        </w:r>
      </w:hyperlink>
      <w:r w:rsidRPr="00C73513">
        <w:rPr>
          <w:rFonts w:ascii="Times New Roman" w:hAnsi="Times New Roman" w:cs="Times New Roman"/>
          <w:bCs/>
          <w:sz w:val="24"/>
          <w:szCs w:val="24"/>
        </w:rPr>
        <w:t xml:space="preserve"> [2025 jun 26].</w:t>
      </w:r>
    </w:p>
    <w:p w14:paraId="4B85CDB0"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Guntipalli P, Pakala R, Kumari Gara S, Ahmed F, Bhatnagar A, Endaya Coronel MK, et al. Worldwide prevalence, genotype distribution and management of hepatitis C. Acta Gastroenterol Belg [periódico na internet]. 2021;84(4):637-56. Disponível em: </w:t>
      </w:r>
      <w:hyperlink r:id="rId59" w:tgtFrame="_blank" w:history="1">
        <w:r w:rsidRPr="00C73513">
          <w:rPr>
            <w:rStyle w:val="Hyperlink"/>
            <w:rFonts w:ascii="Times New Roman" w:hAnsi="Times New Roman" w:cs="Times New Roman"/>
            <w:bCs/>
            <w:sz w:val="24"/>
            <w:szCs w:val="24"/>
          </w:rPr>
          <w:t>https://doi.org/10.51821/84.4.015</w:t>
        </w:r>
      </w:hyperlink>
      <w:r w:rsidRPr="00C73513">
        <w:rPr>
          <w:rFonts w:ascii="Times New Roman" w:hAnsi="Times New Roman" w:cs="Times New Roman"/>
          <w:bCs/>
          <w:sz w:val="24"/>
          <w:szCs w:val="24"/>
        </w:rPr>
        <w:t xml:space="preserve"> [2025 jun 27].</w:t>
      </w:r>
    </w:p>
    <w:p w14:paraId="6730A536" w14:textId="77777777" w:rsidR="00C73513" w:rsidRPr="00C73513" w:rsidRDefault="00C73513" w:rsidP="00C73513">
      <w:pPr>
        <w:numPr>
          <w:ilvl w:val="0"/>
          <w:numId w:val="18"/>
        </w:numPr>
        <w:tabs>
          <w:tab w:val="clear" w:pos="720"/>
          <w:tab w:val="num" w:pos="360"/>
        </w:tabs>
        <w:spacing w:before="200" w:after="200" w:line="240" w:lineRule="auto"/>
        <w:ind w:left="360"/>
        <w:jc w:val="both"/>
        <w:rPr>
          <w:rFonts w:ascii="Times New Roman" w:hAnsi="Times New Roman" w:cs="Times New Roman"/>
          <w:bCs/>
          <w:sz w:val="24"/>
          <w:szCs w:val="24"/>
        </w:rPr>
      </w:pPr>
      <w:r w:rsidRPr="00C73513">
        <w:rPr>
          <w:rFonts w:ascii="Times New Roman" w:hAnsi="Times New Roman" w:cs="Times New Roman"/>
          <w:bCs/>
          <w:sz w:val="24"/>
          <w:szCs w:val="24"/>
        </w:rPr>
        <w:t xml:space="preserve">Manns MP, Maasoumy B. Breakthroughs in hepatitis C research: from discovery to cure. Nat Rev Gastroenterol Hepatol [periódico na internet]. 2022;19(8):533-50. Disponível em: </w:t>
      </w:r>
      <w:hyperlink r:id="rId60" w:tgtFrame="_blank" w:history="1">
        <w:r w:rsidRPr="00C73513">
          <w:rPr>
            <w:rStyle w:val="Hyperlink"/>
            <w:rFonts w:ascii="Times New Roman" w:hAnsi="Times New Roman" w:cs="Times New Roman"/>
            <w:bCs/>
            <w:sz w:val="24"/>
            <w:szCs w:val="24"/>
          </w:rPr>
          <w:t>https://doi.org/10.1038/s41575-022-00608-8</w:t>
        </w:r>
      </w:hyperlink>
      <w:r w:rsidRPr="00C73513">
        <w:rPr>
          <w:rFonts w:ascii="Times New Roman" w:hAnsi="Times New Roman" w:cs="Times New Roman"/>
          <w:bCs/>
          <w:sz w:val="24"/>
          <w:szCs w:val="24"/>
        </w:rPr>
        <w:t xml:space="preserve"> [2025 jun 28].</w:t>
      </w:r>
    </w:p>
    <w:p w14:paraId="65B78EC7" w14:textId="77777777" w:rsidR="0039024E" w:rsidRPr="00752D4E" w:rsidRDefault="0039024E" w:rsidP="00C73513">
      <w:pPr>
        <w:spacing w:before="200" w:after="200" w:line="240" w:lineRule="auto"/>
        <w:jc w:val="both"/>
        <w:rPr>
          <w:rFonts w:ascii="Times New Roman" w:hAnsi="Times New Roman" w:cs="Times New Roman"/>
          <w:bCs/>
          <w:sz w:val="24"/>
          <w:szCs w:val="24"/>
        </w:rPr>
      </w:pPr>
    </w:p>
    <w:sectPr w:rsidR="0039024E" w:rsidRPr="00752D4E" w:rsidSect="00BA68EB">
      <w:headerReference w:type="default" r:id="rId61"/>
      <w:headerReference w:type="first" r:id="rId62"/>
      <w:pgSz w:w="11909" w:h="16834"/>
      <w:pgMar w:top="1701" w:right="1701" w:bottom="1701"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39062" w14:textId="77777777" w:rsidR="00B47D6B" w:rsidRDefault="00B47D6B">
      <w:pPr>
        <w:spacing w:line="240" w:lineRule="auto"/>
      </w:pPr>
      <w:r>
        <w:separator/>
      </w:r>
    </w:p>
  </w:endnote>
  <w:endnote w:type="continuationSeparator" w:id="0">
    <w:p w14:paraId="0A671850" w14:textId="77777777" w:rsidR="00B47D6B" w:rsidRDefault="00B47D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48329" w14:textId="77777777" w:rsidR="00B47D6B" w:rsidRDefault="00B47D6B">
      <w:pPr>
        <w:spacing w:line="240" w:lineRule="auto"/>
      </w:pPr>
      <w:r>
        <w:separator/>
      </w:r>
    </w:p>
  </w:footnote>
  <w:footnote w:type="continuationSeparator" w:id="0">
    <w:p w14:paraId="4C3819CC" w14:textId="77777777" w:rsidR="00B47D6B" w:rsidRDefault="00B47D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6917" w14:textId="7BBB7BF0" w:rsidR="00E15D75" w:rsidRPr="00E15D75" w:rsidRDefault="00E15D75" w:rsidP="00E15D75">
    <w:pPr>
      <w:pBdr>
        <w:top w:val="nil"/>
        <w:left w:val="nil"/>
        <w:bottom w:val="nil"/>
        <w:right w:val="nil"/>
        <w:between w:val="nil"/>
      </w:pBdr>
      <w:tabs>
        <w:tab w:val="center" w:pos="4252"/>
        <w:tab w:val="right" w:pos="8504"/>
      </w:tabs>
      <w:spacing w:line="240" w:lineRule="auto"/>
      <w:jc w:val="center"/>
      <w:rPr>
        <w:rFonts w:ascii="Times New Roman" w:eastAsia="Times New Roman" w:hAnsi="Times New Roman" w:cs="Times New Roman"/>
        <w:color w:val="000000"/>
        <w:sz w:val="20"/>
        <w:szCs w:val="20"/>
      </w:rPr>
    </w:pPr>
    <w:r w:rsidRPr="00E15D75">
      <w:rPr>
        <w:rFonts w:ascii="Times New Roman" w:hAnsi="Times New Roman" w:cs="Times New Roman"/>
        <w:sz w:val="24"/>
        <w:szCs w:val="24"/>
      </w:rPr>
      <w:t>HEPATITES B E C EM OSÓRIO/RS (2003-2023)</w:t>
    </w:r>
  </w:p>
  <w:p w14:paraId="50B22C4B" w14:textId="63CE4860" w:rsidR="003A38C6" w:rsidRDefault="003A38C6">
    <w:pPr>
      <w:pBdr>
        <w:top w:val="nil"/>
        <w:left w:val="nil"/>
        <w:bottom w:val="nil"/>
        <w:right w:val="nil"/>
        <w:between w:val="nil"/>
      </w:pBdr>
      <w:tabs>
        <w:tab w:val="center" w:pos="4252"/>
        <w:tab w:val="right" w:pos="8504"/>
      </w:tabs>
      <w:spacing w:line="240" w:lineRule="auto"/>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0D37" w14:textId="694E6548" w:rsidR="00E15D75" w:rsidRPr="00E15D75" w:rsidRDefault="00E15D75" w:rsidP="00E15D75">
    <w:pPr>
      <w:pStyle w:val="Cabealho"/>
      <w:jc w:val="center"/>
      <w:rPr>
        <w:rFonts w:ascii="Times New Roman" w:hAnsi="Times New Roman" w:cs="Times New Roman"/>
        <w:sz w:val="24"/>
        <w:szCs w:val="24"/>
      </w:rPr>
    </w:pPr>
    <w:r w:rsidRPr="00E15D75">
      <w:rPr>
        <w:rFonts w:ascii="Times New Roman" w:hAnsi="Times New Roman" w:cs="Times New Roman"/>
        <w:sz w:val="24"/>
        <w:szCs w:val="24"/>
      </w:rPr>
      <w:t>HEPATITES B E C EM OSÓRIO/RS (2003-2023)</w:t>
    </w:r>
  </w:p>
  <w:p w14:paraId="5A177AD5" w14:textId="77777777" w:rsidR="00E15D75" w:rsidRDefault="00E15D7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DA2"/>
    <w:multiLevelType w:val="multilevel"/>
    <w:tmpl w:val="4516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42FF2"/>
    <w:multiLevelType w:val="hybridMultilevel"/>
    <w:tmpl w:val="293A10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25223E"/>
    <w:multiLevelType w:val="multilevel"/>
    <w:tmpl w:val="B132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40864"/>
    <w:multiLevelType w:val="multilevel"/>
    <w:tmpl w:val="337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C0E81"/>
    <w:multiLevelType w:val="multilevel"/>
    <w:tmpl w:val="2556A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93A3D"/>
    <w:multiLevelType w:val="multilevel"/>
    <w:tmpl w:val="0FC4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66551"/>
    <w:multiLevelType w:val="multilevel"/>
    <w:tmpl w:val="3D5C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C037B"/>
    <w:multiLevelType w:val="multilevel"/>
    <w:tmpl w:val="7D9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C678B"/>
    <w:multiLevelType w:val="multilevel"/>
    <w:tmpl w:val="09EE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E08DC"/>
    <w:multiLevelType w:val="multilevel"/>
    <w:tmpl w:val="20164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EB529DD"/>
    <w:multiLevelType w:val="multilevel"/>
    <w:tmpl w:val="689A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91655"/>
    <w:multiLevelType w:val="multilevel"/>
    <w:tmpl w:val="FB02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35926"/>
    <w:multiLevelType w:val="multilevel"/>
    <w:tmpl w:val="8FECE92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2F63B6A"/>
    <w:multiLevelType w:val="multilevel"/>
    <w:tmpl w:val="8FECE92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8FA170D"/>
    <w:multiLevelType w:val="multilevel"/>
    <w:tmpl w:val="E010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C5992"/>
    <w:multiLevelType w:val="multilevel"/>
    <w:tmpl w:val="E870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7574D4"/>
    <w:multiLevelType w:val="multilevel"/>
    <w:tmpl w:val="5766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FA16BD"/>
    <w:multiLevelType w:val="multilevel"/>
    <w:tmpl w:val="E56AC5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8692768">
    <w:abstractNumId w:val="12"/>
  </w:num>
  <w:num w:numId="2" w16cid:durableId="162937933">
    <w:abstractNumId w:val="17"/>
  </w:num>
  <w:num w:numId="3" w16cid:durableId="1792749021">
    <w:abstractNumId w:val="9"/>
  </w:num>
  <w:num w:numId="4" w16cid:durableId="54621599">
    <w:abstractNumId w:val="7"/>
  </w:num>
  <w:num w:numId="5" w16cid:durableId="254629158">
    <w:abstractNumId w:val="11"/>
  </w:num>
  <w:num w:numId="6" w16cid:durableId="1051345676">
    <w:abstractNumId w:val="5"/>
  </w:num>
  <w:num w:numId="7" w16cid:durableId="1730423138">
    <w:abstractNumId w:val="14"/>
  </w:num>
  <w:num w:numId="8" w16cid:durableId="1147625325">
    <w:abstractNumId w:val="10"/>
  </w:num>
  <w:num w:numId="9" w16cid:durableId="1559854846">
    <w:abstractNumId w:val="8"/>
  </w:num>
  <w:num w:numId="10" w16cid:durableId="407314543">
    <w:abstractNumId w:val="6"/>
  </w:num>
  <w:num w:numId="11" w16cid:durableId="416172216">
    <w:abstractNumId w:val="16"/>
  </w:num>
  <w:num w:numId="12" w16cid:durableId="2027517478">
    <w:abstractNumId w:val="15"/>
  </w:num>
  <w:num w:numId="13" w16cid:durableId="588004271">
    <w:abstractNumId w:val="0"/>
  </w:num>
  <w:num w:numId="14" w16cid:durableId="163670039">
    <w:abstractNumId w:val="1"/>
  </w:num>
  <w:num w:numId="15" w16cid:durableId="645401976">
    <w:abstractNumId w:val="4"/>
  </w:num>
  <w:num w:numId="16" w16cid:durableId="613828384">
    <w:abstractNumId w:val="13"/>
  </w:num>
  <w:num w:numId="17" w16cid:durableId="2048068798">
    <w:abstractNumId w:val="3"/>
  </w:num>
  <w:num w:numId="18" w16cid:durableId="242684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C6"/>
    <w:rsid w:val="00011E2D"/>
    <w:rsid w:val="00030A64"/>
    <w:rsid w:val="00036081"/>
    <w:rsid w:val="000441AD"/>
    <w:rsid w:val="000543E4"/>
    <w:rsid w:val="000548E7"/>
    <w:rsid w:val="00061A3C"/>
    <w:rsid w:val="00096BAF"/>
    <w:rsid w:val="000C1BBE"/>
    <w:rsid w:val="000C2AF4"/>
    <w:rsid w:val="000D7A0C"/>
    <w:rsid w:val="000F24B1"/>
    <w:rsid w:val="000F2B0E"/>
    <w:rsid w:val="00120C5A"/>
    <w:rsid w:val="00121274"/>
    <w:rsid w:val="00121CE0"/>
    <w:rsid w:val="00124D6F"/>
    <w:rsid w:val="00125E43"/>
    <w:rsid w:val="00126268"/>
    <w:rsid w:val="00126A4A"/>
    <w:rsid w:val="00134294"/>
    <w:rsid w:val="00142FCB"/>
    <w:rsid w:val="00145D67"/>
    <w:rsid w:val="00154459"/>
    <w:rsid w:val="00181C6F"/>
    <w:rsid w:val="001934C9"/>
    <w:rsid w:val="00197160"/>
    <w:rsid w:val="001B4116"/>
    <w:rsid w:val="001B4E1A"/>
    <w:rsid w:val="001C6D35"/>
    <w:rsid w:val="001D11EB"/>
    <w:rsid w:val="001D2F02"/>
    <w:rsid w:val="001E536F"/>
    <w:rsid w:val="001F3A67"/>
    <w:rsid w:val="00200051"/>
    <w:rsid w:val="00203305"/>
    <w:rsid w:val="0021782D"/>
    <w:rsid w:val="00223B02"/>
    <w:rsid w:val="00224297"/>
    <w:rsid w:val="00226BCB"/>
    <w:rsid w:val="0024325E"/>
    <w:rsid w:val="00252A17"/>
    <w:rsid w:val="00255087"/>
    <w:rsid w:val="00255FD4"/>
    <w:rsid w:val="00256DDA"/>
    <w:rsid w:val="0027484D"/>
    <w:rsid w:val="00275E17"/>
    <w:rsid w:val="00284920"/>
    <w:rsid w:val="00287682"/>
    <w:rsid w:val="002917EA"/>
    <w:rsid w:val="002932AC"/>
    <w:rsid w:val="002A5A24"/>
    <w:rsid w:val="002D18C7"/>
    <w:rsid w:val="002D35F4"/>
    <w:rsid w:val="002D6C2C"/>
    <w:rsid w:val="002F25BE"/>
    <w:rsid w:val="00305297"/>
    <w:rsid w:val="00311442"/>
    <w:rsid w:val="00317C57"/>
    <w:rsid w:val="00322520"/>
    <w:rsid w:val="0033652B"/>
    <w:rsid w:val="0034076C"/>
    <w:rsid w:val="00364F52"/>
    <w:rsid w:val="00376DC9"/>
    <w:rsid w:val="003774B3"/>
    <w:rsid w:val="003776F0"/>
    <w:rsid w:val="0037785B"/>
    <w:rsid w:val="00377CA1"/>
    <w:rsid w:val="0039024E"/>
    <w:rsid w:val="00392873"/>
    <w:rsid w:val="003A38C6"/>
    <w:rsid w:val="003B3B6A"/>
    <w:rsid w:val="003C0223"/>
    <w:rsid w:val="003C6390"/>
    <w:rsid w:val="003D2AE3"/>
    <w:rsid w:val="003D45B4"/>
    <w:rsid w:val="003D4BFF"/>
    <w:rsid w:val="003E2FF0"/>
    <w:rsid w:val="003E428A"/>
    <w:rsid w:val="003E7ABC"/>
    <w:rsid w:val="004139FD"/>
    <w:rsid w:val="00433AE8"/>
    <w:rsid w:val="00437951"/>
    <w:rsid w:val="004464B8"/>
    <w:rsid w:val="00452F5B"/>
    <w:rsid w:val="00454006"/>
    <w:rsid w:val="0045750F"/>
    <w:rsid w:val="004734C5"/>
    <w:rsid w:val="0047367D"/>
    <w:rsid w:val="0047719D"/>
    <w:rsid w:val="004B619B"/>
    <w:rsid w:val="004B7F4A"/>
    <w:rsid w:val="004F060E"/>
    <w:rsid w:val="004F0A21"/>
    <w:rsid w:val="005110F4"/>
    <w:rsid w:val="00526E63"/>
    <w:rsid w:val="00535DF9"/>
    <w:rsid w:val="00542147"/>
    <w:rsid w:val="005572A4"/>
    <w:rsid w:val="00571E2C"/>
    <w:rsid w:val="00580AD7"/>
    <w:rsid w:val="00585611"/>
    <w:rsid w:val="005971DA"/>
    <w:rsid w:val="005A1035"/>
    <w:rsid w:val="005B20C0"/>
    <w:rsid w:val="005C628C"/>
    <w:rsid w:val="005D74F6"/>
    <w:rsid w:val="005F51A4"/>
    <w:rsid w:val="00601597"/>
    <w:rsid w:val="0060197A"/>
    <w:rsid w:val="00601E1E"/>
    <w:rsid w:val="006423E0"/>
    <w:rsid w:val="00643C0A"/>
    <w:rsid w:val="0065116D"/>
    <w:rsid w:val="006574C1"/>
    <w:rsid w:val="006650A4"/>
    <w:rsid w:val="0066790D"/>
    <w:rsid w:val="00676EF1"/>
    <w:rsid w:val="006A23C5"/>
    <w:rsid w:val="006C1807"/>
    <w:rsid w:val="006D0BB9"/>
    <w:rsid w:val="006D45CA"/>
    <w:rsid w:val="006F4C57"/>
    <w:rsid w:val="006F78A5"/>
    <w:rsid w:val="00712A5D"/>
    <w:rsid w:val="007162B4"/>
    <w:rsid w:val="007311DA"/>
    <w:rsid w:val="00745D95"/>
    <w:rsid w:val="00752D4E"/>
    <w:rsid w:val="0075424F"/>
    <w:rsid w:val="0075686A"/>
    <w:rsid w:val="00757529"/>
    <w:rsid w:val="00767797"/>
    <w:rsid w:val="00774BC9"/>
    <w:rsid w:val="00780F8D"/>
    <w:rsid w:val="00783608"/>
    <w:rsid w:val="007A51A6"/>
    <w:rsid w:val="007B23E0"/>
    <w:rsid w:val="007B2D73"/>
    <w:rsid w:val="007D04DA"/>
    <w:rsid w:val="007D6595"/>
    <w:rsid w:val="008010E7"/>
    <w:rsid w:val="0080114D"/>
    <w:rsid w:val="00803E22"/>
    <w:rsid w:val="008256A1"/>
    <w:rsid w:val="00840563"/>
    <w:rsid w:val="00841295"/>
    <w:rsid w:val="008548A8"/>
    <w:rsid w:val="008610F0"/>
    <w:rsid w:val="00861A86"/>
    <w:rsid w:val="00862438"/>
    <w:rsid w:val="00862E26"/>
    <w:rsid w:val="00865253"/>
    <w:rsid w:val="00866454"/>
    <w:rsid w:val="00870E6A"/>
    <w:rsid w:val="00873373"/>
    <w:rsid w:val="0087476E"/>
    <w:rsid w:val="00877AE8"/>
    <w:rsid w:val="00885DCD"/>
    <w:rsid w:val="008A0C69"/>
    <w:rsid w:val="008C022C"/>
    <w:rsid w:val="008C30B3"/>
    <w:rsid w:val="008F0920"/>
    <w:rsid w:val="00902D0D"/>
    <w:rsid w:val="009237B4"/>
    <w:rsid w:val="00927F28"/>
    <w:rsid w:val="00936D98"/>
    <w:rsid w:val="00946E37"/>
    <w:rsid w:val="009476BA"/>
    <w:rsid w:val="00950A70"/>
    <w:rsid w:val="00961EFA"/>
    <w:rsid w:val="00966859"/>
    <w:rsid w:val="00966ACA"/>
    <w:rsid w:val="009671C2"/>
    <w:rsid w:val="00976B10"/>
    <w:rsid w:val="00986CF6"/>
    <w:rsid w:val="009915E8"/>
    <w:rsid w:val="009A4AFD"/>
    <w:rsid w:val="009A52D4"/>
    <w:rsid w:val="009B01EA"/>
    <w:rsid w:val="009E2BD3"/>
    <w:rsid w:val="009F1628"/>
    <w:rsid w:val="009F21AB"/>
    <w:rsid w:val="009F531E"/>
    <w:rsid w:val="009F5DFD"/>
    <w:rsid w:val="009F60E9"/>
    <w:rsid w:val="00A172EC"/>
    <w:rsid w:val="00A22AD5"/>
    <w:rsid w:val="00A33EF6"/>
    <w:rsid w:val="00A44F28"/>
    <w:rsid w:val="00A63DB3"/>
    <w:rsid w:val="00A768B2"/>
    <w:rsid w:val="00A96961"/>
    <w:rsid w:val="00AC076C"/>
    <w:rsid w:val="00AC3F2D"/>
    <w:rsid w:val="00AD240A"/>
    <w:rsid w:val="00AD5FB0"/>
    <w:rsid w:val="00AE598C"/>
    <w:rsid w:val="00AF6F67"/>
    <w:rsid w:val="00B02DDC"/>
    <w:rsid w:val="00B21909"/>
    <w:rsid w:val="00B35462"/>
    <w:rsid w:val="00B42434"/>
    <w:rsid w:val="00B47D6B"/>
    <w:rsid w:val="00B5527D"/>
    <w:rsid w:val="00B744E2"/>
    <w:rsid w:val="00B77B86"/>
    <w:rsid w:val="00B871AA"/>
    <w:rsid w:val="00BA2812"/>
    <w:rsid w:val="00BA467F"/>
    <w:rsid w:val="00BA52B6"/>
    <w:rsid w:val="00BA68EB"/>
    <w:rsid w:val="00BD1A06"/>
    <w:rsid w:val="00BE448F"/>
    <w:rsid w:val="00C069F0"/>
    <w:rsid w:val="00C07CE8"/>
    <w:rsid w:val="00C1774B"/>
    <w:rsid w:val="00C25A63"/>
    <w:rsid w:val="00C4303B"/>
    <w:rsid w:val="00C45A85"/>
    <w:rsid w:val="00C50AB6"/>
    <w:rsid w:val="00C65B2E"/>
    <w:rsid w:val="00C73513"/>
    <w:rsid w:val="00C74B17"/>
    <w:rsid w:val="00C8554B"/>
    <w:rsid w:val="00CB4D80"/>
    <w:rsid w:val="00CB7CFF"/>
    <w:rsid w:val="00CC620C"/>
    <w:rsid w:val="00CD6A00"/>
    <w:rsid w:val="00CE7E40"/>
    <w:rsid w:val="00D11410"/>
    <w:rsid w:val="00D135B1"/>
    <w:rsid w:val="00D270B8"/>
    <w:rsid w:val="00D40671"/>
    <w:rsid w:val="00D42D5B"/>
    <w:rsid w:val="00D51045"/>
    <w:rsid w:val="00D53A54"/>
    <w:rsid w:val="00D56B2F"/>
    <w:rsid w:val="00D61522"/>
    <w:rsid w:val="00D61A40"/>
    <w:rsid w:val="00D71290"/>
    <w:rsid w:val="00D744FF"/>
    <w:rsid w:val="00D94037"/>
    <w:rsid w:val="00DB4FCA"/>
    <w:rsid w:val="00DB5425"/>
    <w:rsid w:val="00DB5FF0"/>
    <w:rsid w:val="00DD70FC"/>
    <w:rsid w:val="00E158ED"/>
    <w:rsid w:val="00E15D75"/>
    <w:rsid w:val="00E16500"/>
    <w:rsid w:val="00E37C87"/>
    <w:rsid w:val="00E42656"/>
    <w:rsid w:val="00E433E4"/>
    <w:rsid w:val="00E609B6"/>
    <w:rsid w:val="00E85DCF"/>
    <w:rsid w:val="00E95538"/>
    <w:rsid w:val="00EB4B33"/>
    <w:rsid w:val="00EB6D68"/>
    <w:rsid w:val="00EC027C"/>
    <w:rsid w:val="00EC35B0"/>
    <w:rsid w:val="00EC4E39"/>
    <w:rsid w:val="00ED0031"/>
    <w:rsid w:val="00EE216B"/>
    <w:rsid w:val="00EE77EA"/>
    <w:rsid w:val="00EF3DE0"/>
    <w:rsid w:val="00F015AE"/>
    <w:rsid w:val="00F231E1"/>
    <w:rsid w:val="00F3010C"/>
    <w:rsid w:val="00F36801"/>
    <w:rsid w:val="00F46D2A"/>
    <w:rsid w:val="00F50737"/>
    <w:rsid w:val="00F5434B"/>
    <w:rsid w:val="00F5769A"/>
    <w:rsid w:val="00F63BC4"/>
    <w:rsid w:val="00F64A4D"/>
    <w:rsid w:val="00F71F7C"/>
    <w:rsid w:val="00F817E9"/>
    <w:rsid w:val="00F929D3"/>
    <w:rsid w:val="00F92C02"/>
    <w:rsid w:val="00FA6352"/>
    <w:rsid w:val="00FA7C70"/>
    <w:rsid w:val="00FB447C"/>
    <w:rsid w:val="00FD1B50"/>
    <w:rsid w:val="00FD73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E0BD2"/>
  <w15:docId w15:val="{1B4319A2-9B3F-4B63-953B-C90DD691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000000"/>
    </w:rPr>
    <w:tblPr>
      <w:tblStyleRowBandSize w:val="1"/>
      <w:tblStyleColBandSize w:val="1"/>
      <w:tblCellMar>
        <w:left w:w="108" w:type="dxa"/>
        <w:right w:w="108" w:type="dxa"/>
      </w:tblCellMar>
    </w:tblPr>
    <w:tblStylePr w:type="firstRow">
      <w:rPr>
        <w:b/>
      </w:rPr>
      <w:tblPr/>
      <w:tcPr>
        <w:tcBorders>
          <w:bottom w:val="single" w:sz="4" w:space="0" w:color="000000"/>
        </w:tcBorders>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paragraph" w:styleId="PargrafodaLista">
    <w:name w:val="List Paragraph"/>
    <w:basedOn w:val="Normal"/>
    <w:uiPriority w:val="34"/>
    <w:qFormat/>
    <w:rsid w:val="00030A64"/>
    <w:pPr>
      <w:ind w:left="720"/>
      <w:contextualSpacing/>
    </w:pPr>
  </w:style>
  <w:style w:type="character" w:styleId="Hyperlink">
    <w:name w:val="Hyperlink"/>
    <w:basedOn w:val="Fontepargpadro"/>
    <w:uiPriority w:val="99"/>
    <w:unhideWhenUsed/>
    <w:rsid w:val="00030A64"/>
    <w:rPr>
      <w:color w:val="0000FF" w:themeColor="hyperlink"/>
      <w:u w:val="single"/>
    </w:rPr>
  </w:style>
  <w:style w:type="character" w:customStyle="1" w:styleId="MenoPendente1">
    <w:name w:val="Menção Pendente1"/>
    <w:basedOn w:val="Fontepargpadro"/>
    <w:uiPriority w:val="99"/>
    <w:semiHidden/>
    <w:unhideWhenUsed/>
    <w:rsid w:val="00030A64"/>
    <w:rPr>
      <w:color w:val="605E5C"/>
      <w:shd w:val="clear" w:color="auto" w:fill="E1DFDD"/>
    </w:rPr>
  </w:style>
  <w:style w:type="paragraph" w:styleId="CabealhodoSumrio">
    <w:name w:val="TOC Heading"/>
    <w:basedOn w:val="Ttulo1"/>
    <w:next w:val="Normal"/>
    <w:uiPriority w:val="39"/>
    <w:unhideWhenUsed/>
    <w:qFormat/>
    <w:rsid w:val="005A1035"/>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5A1035"/>
    <w:pPr>
      <w:spacing w:after="100"/>
    </w:pPr>
  </w:style>
  <w:style w:type="paragraph" w:styleId="NormalWeb">
    <w:name w:val="Normal (Web)"/>
    <w:basedOn w:val="Normal"/>
    <w:uiPriority w:val="99"/>
    <w:semiHidden/>
    <w:unhideWhenUsed/>
    <w:rsid w:val="00226B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84">
    <w:name w:val="citation-84"/>
    <w:basedOn w:val="Fontepargpadro"/>
    <w:rsid w:val="00226BCB"/>
  </w:style>
  <w:style w:type="character" w:customStyle="1" w:styleId="citation-83">
    <w:name w:val="citation-83"/>
    <w:basedOn w:val="Fontepargpadro"/>
    <w:rsid w:val="00226BCB"/>
  </w:style>
  <w:style w:type="character" w:customStyle="1" w:styleId="citation-82">
    <w:name w:val="citation-82"/>
    <w:basedOn w:val="Fontepargpadro"/>
    <w:rsid w:val="00226BCB"/>
  </w:style>
  <w:style w:type="character" w:customStyle="1" w:styleId="citation-81">
    <w:name w:val="citation-81"/>
    <w:basedOn w:val="Fontepargpadro"/>
    <w:rsid w:val="00226BCB"/>
  </w:style>
  <w:style w:type="character" w:customStyle="1" w:styleId="citation-80">
    <w:name w:val="citation-80"/>
    <w:basedOn w:val="Fontepargpadro"/>
    <w:rsid w:val="00226BCB"/>
  </w:style>
  <w:style w:type="character" w:customStyle="1" w:styleId="citation-79">
    <w:name w:val="citation-79"/>
    <w:basedOn w:val="Fontepargpadro"/>
    <w:rsid w:val="00226BCB"/>
  </w:style>
  <w:style w:type="character" w:customStyle="1" w:styleId="citation-78">
    <w:name w:val="citation-78"/>
    <w:basedOn w:val="Fontepargpadro"/>
    <w:rsid w:val="00226BCB"/>
  </w:style>
  <w:style w:type="character" w:customStyle="1" w:styleId="citation-77">
    <w:name w:val="citation-77"/>
    <w:basedOn w:val="Fontepargpadro"/>
    <w:rsid w:val="00226BCB"/>
  </w:style>
  <w:style w:type="character" w:customStyle="1" w:styleId="citation-76">
    <w:name w:val="citation-76"/>
    <w:basedOn w:val="Fontepargpadro"/>
    <w:rsid w:val="00226BCB"/>
  </w:style>
  <w:style w:type="character" w:customStyle="1" w:styleId="citation-75">
    <w:name w:val="citation-75"/>
    <w:basedOn w:val="Fontepargpadro"/>
    <w:rsid w:val="00226BCB"/>
  </w:style>
  <w:style w:type="character" w:customStyle="1" w:styleId="citation-74">
    <w:name w:val="citation-74"/>
    <w:basedOn w:val="Fontepargpadro"/>
    <w:rsid w:val="00226BCB"/>
  </w:style>
  <w:style w:type="character" w:customStyle="1" w:styleId="citation-73">
    <w:name w:val="citation-73"/>
    <w:basedOn w:val="Fontepargpadro"/>
    <w:rsid w:val="00226BCB"/>
  </w:style>
  <w:style w:type="character" w:customStyle="1" w:styleId="citation-72">
    <w:name w:val="citation-72"/>
    <w:basedOn w:val="Fontepargpadro"/>
    <w:rsid w:val="00226BCB"/>
  </w:style>
  <w:style w:type="character" w:styleId="MenoPendente">
    <w:name w:val="Unresolved Mention"/>
    <w:basedOn w:val="Fontepargpadro"/>
    <w:uiPriority w:val="99"/>
    <w:semiHidden/>
    <w:unhideWhenUsed/>
    <w:rsid w:val="006C1807"/>
    <w:rPr>
      <w:color w:val="605E5C"/>
      <w:shd w:val="clear" w:color="auto" w:fill="E1DFDD"/>
    </w:rPr>
  </w:style>
  <w:style w:type="character" w:styleId="HiperlinkVisitado">
    <w:name w:val="FollowedHyperlink"/>
    <w:basedOn w:val="Fontepargpadro"/>
    <w:uiPriority w:val="99"/>
    <w:semiHidden/>
    <w:unhideWhenUsed/>
    <w:rsid w:val="00B35462"/>
    <w:rPr>
      <w:color w:val="800080" w:themeColor="followedHyperlink"/>
      <w:u w:val="single"/>
    </w:rPr>
  </w:style>
  <w:style w:type="character" w:customStyle="1" w:styleId="math-inline">
    <w:name w:val="math-inline"/>
    <w:basedOn w:val="Fontepargpadro"/>
    <w:rsid w:val="00D51045"/>
  </w:style>
  <w:style w:type="character" w:customStyle="1" w:styleId="label">
    <w:name w:val="label"/>
    <w:basedOn w:val="Fontepargpadro"/>
    <w:rsid w:val="00D51045"/>
  </w:style>
  <w:style w:type="paragraph" w:styleId="Cabealho">
    <w:name w:val="header"/>
    <w:basedOn w:val="Normal"/>
    <w:link w:val="CabealhoChar"/>
    <w:uiPriority w:val="99"/>
    <w:unhideWhenUsed/>
    <w:rsid w:val="00E15D75"/>
    <w:pPr>
      <w:tabs>
        <w:tab w:val="center" w:pos="4252"/>
        <w:tab w:val="right" w:pos="8504"/>
      </w:tabs>
      <w:spacing w:line="240" w:lineRule="auto"/>
    </w:pPr>
  </w:style>
  <w:style w:type="character" w:customStyle="1" w:styleId="CabealhoChar">
    <w:name w:val="Cabeçalho Char"/>
    <w:basedOn w:val="Fontepargpadro"/>
    <w:link w:val="Cabealho"/>
    <w:uiPriority w:val="99"/>
    <w:rsid w:val="00E15D75"/>
  </w:style>
  <w:style w:type="paragraph" w:styleId="Rodap">
    <w:name w:val="footer"/>
    <w:basedOn w:val="Normal"/>
    <w:link w:val="RodapChar"/>
    <w:uiPriority w:val="99"/>
    <w:unhideWhenUsed/>
    <w:rsid w:val="00E15D75"/>
    <w:pPr>
      <w:tabs>
        <w:tab w:val="center" w:pos="4252"/>
        <w:tab w:val="right" w:pos="8504"/>
      </w:tabs>
      <w:spacing w:line="240" w:lineRule="auto"/>
    </w:pPr>
  </w:style>
  <w:style w:type="character" w:customStyle="1" w:styleId="RodapChar">
    <w:name w:val="Rodapé Char"/>
    <w:basedOn w:val="Fontepargpadro"/>
    <w:link w:val="Rodap"/>
    <w:uiPriority w:val="99"/>
    <w:rsid w:val="00E15D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891949">
      <w:bodyDiv w:val="1"/>
      <w:marLeft w:val="0"/>
      <w:marRight w:val="0"/>
      <w:marTop w:val="0"/>
      <w:marBottom w:val="0"/>
      <w:divBdr>
        <w:top w:val="none" w:sz="0" w:space="0" w:color="auto"/>
        <w:left w:val="none" w:sz="0" w:space="0" w:color="auto"/>
        <w:bottom w:val="none" w:sz="0" w:space="0" w:color="auto"/>
        <w:right w:val="none" w:sz="0" w:space="0" w:color="auto"/>
      </w:divBdr>
    </w:div>
    <w:div w:id="428694897">
      <w:bodyDiv w:val="1"/>
      <w:marLeft w:val="0"/>
      <w:marRight w:val="0"/>
      <w:marTop w:val="0"/>
      <w:marBottom w:val="0"/>
      <w:divBdr>
        <w:top w:val="none" w:sz="0" w:space="0" w:color="auto"/>
        <w:left w:val="none" w:sz="0" w:space="0" w:color="auto"/>
        <w:bottom w:val="none" w:sz="0" w:space="0" w:color="auto"/>
        <w:right w:val="none" w:sz="0" w:space="0" w:color="auto"/>
      </w:divBdr>
    </w:div>
    <w:div w:id="432021782">
      <w:bodyDiv w:val="1"/>
      <w:marLeft w:val="0"/>
      <w:marRight w:val="0"/>
      <w:marTop w:val="0"/>
      <w:marBottom w:val="0"/>
      <w:divBdr>
        <w:top w:val="none" w:sz="0" w:space="0" w:color="auto"/>
        <w:left w:val="none" w:sz="0" w:space="0" w:color="auto"/>
        <w:bottom w:val="none" w:sz="0" w:space="0" w:color="auto"/>
        <w:right w:val="none" w:sz="0" w:space="0" w:color="auto"/>
      </w:divBdr>
    </w:div>
    <w:div w:id="981424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1905.robertaoriques@cnec.br" TargetMode="External"/><Relationship Id="rId18" Type="http://schemas.openxmlformats.org/officeDocument/2006/relationships/image" Target="media/image3.png"/><Relationship Id="rId26" Type="http://schemas.openxmlformats.org/officeDocument/2006/relationships/hyperlink" Target="https://www.google.com/search?q=https://doi.org/10.1093/cid/ciy597" TargetMode="External"/><Relationship Id="rId39" Type="http://schemas.openxmlformats.org/officeDocument/2006/relationships/hyperlink" Target="https://www.google.com/search?q=https://doi.org/10.4269/ajtmh.15-0216" TargetMode="External"/><Relationship Id="rId21" Type="http://schemas.openxmlformats.org/officeDocument/2006/relationships/hyperlink" Target="https://www.sciencedirect.com/science/article/abs/pii/S0889855320300017?via%3Dihub" TargetMode="External"/><Relationship Id="rId34" Type="http://schemas.openxmlformats.org/officeDocument/2006/relationships/hyperlink" Target="https://doi.org/10.1016/j.jhep.2014.08.033" TargetMode="External"/><Relationship Id="rId42" Type="http://schemas.openxmlformats.org/officeDocument/2006/relationships/hyperlink" Target="https://doi.org/10.3390/v16071115" TargetMode="External"/><Relationship Id="rId47" Type="http://schemas.openxmlformats.org/officeDocument/2006/relationships/hyperlink" Target="https://www.google.com/search?q=https://doi.org/10.3748/wjg.v30.i18.2402" TargetMode="External"/><Relationship Id="rId50" Type="http://schemas.openxmlformats.org/officeDocument/2006/relationships/hyperlink" Target="https://www.cdc.gov/hepatitis-surveillance-2022/hepatitis-c/figure-3-8.html" TargetMode="External"/><Relationship Id="rId55" Type="http://schemas.openxmlformats.org/officeDocument/2006/relationships/hyperlink" Target="https://doi.org/10.3748/wjg.v28.i14.1405"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1.xml"/><Relationship Id="rId29" Type="http://schemas.openxmlformats.org/officeDocument/2006/relationships/hyperlink" Target="https://www.google.com/search?q=https://www.gov.br/saude/pt-br/centrais-de-conteudo/publicacoes/boletins/epidemiologicos/especiais/2024/boletim-epidemiologico-de-hepatites-virais-2024.pdf" TargetMode="External"/><Relationship Id="rId11" Type="http://schemas.openxmlformats.org/officeDocument/2006/relationships/hyperlink" Target="mailto:gabrielbkiener@gmail.com" TargetMode="External"/><Relationship Id="rId24" Type="http://schemas.openxmlformats.org/officeDocument/2006/relationships/hyperlink" Target="https://www.google.com/search?q=https://doi.org/10.1016/S2468-1253(21)00472-6" TargetMode="External"/><Relationship Id="rId32" Type="http://schemas.openxmlformats.org/officeDocument/2006/relationships/hyperlink" Target="http://www.who.int/hepatitis/strategy2016-2021/ghss-hep/en/" TargetMode="External"/><Relationship Id="rId37" Type="http://schemas.openxmlformats.org/officeDocument/2006/relationships/hyperlink" Target="https://www.cdc.gov/mmwr/volumes/67/rr/rr6701a1.htm" TargetMode="External"/><Relationship Id="rId40" Type="http://schemas.openxmlformats.org/officeDocument/2006/relationships/hyperlink" Target="https://www.google.com/search?q=https://doi.org/10.1590/0074-02760170075" TargetMode="External"/><Relationship Id="rId45" Type="http://schemas.openxmlformats.org/officeDocument/2006/relationships/hyperlink" Target="https://www.gov.br/saude/pt-br/centrais-de-conteudo/publicacoes/svsa/hepatites/plano-para-eliminacao-da-hepatite-c-no-brasil" TargetMode="External"/><Relationship Id="rId53" Type="http://schemas.openxmlformats.org/officeDocument/2006/relationships/hyperlink" Target="https://doi.org/10.18406/2359-1269v11n32024398" TargetMode="External"/><Relationship Id="rId58" Type="http://schemas.openxmlformats.org/officeDocument/2006/relationships/hyperlink" Target="https://doi.org/10.3748/wjg.v28.i5.517"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4.png"/><Relationship Id="rId14" Type="http://schemas.openxmlformats.org/officeDocument/2006/relationships/hyperlink" Target="mailto:becker.roberta@gmail.com" TargetMode="External"/><Relationship Id="rId22" Type="http://schemas.openxmlformats.org/officeDocument/2006/relationships/hyperlink" Target="https://www.wjgnet.com/1007-9327/full/v27/i26/4018.htm" TargetMode="External"/><Relationship Id="rId27" Type="http://schemas.openxmlformats.org/officeDocument/2006/relationships/hyperlink" Target="https://doi.org/10.1128/CMR.00046-19" TargetMode="External"/><Relationship Id="rId30" Type="http://schemas.openxmlformats.org/officeDocument/2006/relationships/hyperlink" Target="https://doi.org/10.3748/wjg.v20.i23.7152" TargetMode="External"/><Relationship Id="rId35" Type="http://schemas.openxmlformats.org/officeDocument/2006/relationships/hyperlink" Target="https://www.google.com/search?q=https://doi.org/10.1590/0037-8682-0176-2015" TargetMode="External"/><Relationship Id="rId43" Type="http://schemas.openxmlformats.org/officeDocument/2006/relationships/hyperlink" Target="https://www.google.com/search?q=https://www.gov.br/conitec/pt-br/midias/consultas/relatorios/2015/pcdt_hepatitec_c_coifeccoes.pdf" TargetMode="External"/><Relationship Id="rId48" Type="http://schemas.openxmlformats.org/officeDocument/2006/relationships/hyperlink" Target="https://bvsms.saude.gov.br/bvs/saudelegis/gm/2017/prc0004_03_10_2017.html" TargetMode="External"/><Relationship Id="rId56" Type="http://schemas.openxmlformats.org/officeDocument/2006/relationships/hyperlink" Target="https://doi.org/10.1128/JCM.01613-10" TargetMode="External"/><Relationship Id="rId64" Type="http://schemas.openxmlformats.org/officeDocument/2006/relationships/theme" Target="theme/theme1.xml"/><Relationship Id="rId8" Type="http://schemas.openxmlformats.org/officeDocument/2006/relationships/hyperlink" Target="mailto:emersonhomero@hotmail.com" TargetMode="External"/><Relationship Id="rId51" Type="http://schemas.openxmlformats.org/officeDocument/2006/relationships/hyperlink" Target="https://doi.org/10.3748/wjg.v22.i34.7824" TargetMode="External"/><Relationship Id="rId3" Type="http://schemas.openxmlformats.org/officeDocument/2006/relationships/styles" Target="styles.xml"/><Relationship Id="rId12" Type="http://schemas.openxmlformats.org/officeDocument/2006/relationships/hyperlink" Target="mailto:1905.biomedicina@cnec.br" TargetMode="External"/><Relationship Id="rId17" Type="http://schemas.openxmlformats.org/officeDocument/2006/relationships/image" Target="media/image2.png"/><Relationship Id="rId25" Type="http://schemas.openxmlformats.org/officeDocument/2006/relationships/hyperlink" Target="https://doi.org/10.4254/wjh.v11.i1.1" TargetMode="External"/><Relationship Id="rId33" Type="http://schemas.openxmlformats.org/officeDocument/2006/relationships/hyperlink" Target="https://doi.org/10.1016/j.bpg.2017.04.010" TargetMode="External"/><Relationship Id="rId38" Type="http://schemas.openxmlformats.org/officeDocument/2006/relationships/hyperlink" Target="https://doi.org/10.1016/j.meegid.2021.104936" TargetMode="External"/><Relationship Id="rId46" Type="http://schemas.openxmlformats.org/officeDocument/2006/relationships/hyperlink" Target="https://censo2022.ibge.gov.br/" TargetMode="External"/><Relationship Id="rId59" Type="http://schemas.openxmlformats.org/officeDocument/2006/relationships/hyperlink" Target="https://doi.org/10.51821/84.4.015" TargetMode="External"/><Relationship Id="rId20" Type="http://schemas.openxmlformats.org/officeDocument/2006/relationships/hyperlink" Target="https://www.thelancet.com/journals/langas/article/PIIS2468-1253(18)30270-X/abstract" TargetMode="External"/><Relationship Id="rId41" Type="http://schemas.openxmlformats.org/officeDocument/2006/relationships/hyperlink" Target="https://doi.org/10.3350/cmh.2022.0349" TargetMode="External"/><Relationship Id="rId54" Type="http://schemas.openxmlformats.org/officeDocument/2006/relationships/hyperlink" Target="https://doi.org/10.3748/wjg.v20.i32.11033"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who.int/news-room/fact-sheets/detail/hepatitis-b" TargetMode="External"/><Relationship Id="rId28" Type="http://schemas.openxmlformats.org/officeDocument/2006/relationships/hyperlink" Target="https://doi.org/10.1016/j.jhep.2020.08.018" TargetMode="External"/><Relationship Id="rId36" Type="http://schemas.openxmlformats.org/officeDocument/2006/relationships/hyperlink" Target="https://www.google.com/search?q=https://doi.org/10.1093/infdis/164.3.476" TargetMode="External"/><Relationship Id="rId49" Type="http://schemas.openxmlformats.org/officeDocument/2006/relationships/hyperlink" Target="https://doi.org/10.17566/ciads.v11i1.820" TargetMode="External"/><Relationship Id="rId57" Type="http://schemas.openxmlformats.org/officeDocument/2006/relationships/hyperlink" Target="https://doi.org/10.3390/v2081504" TargetMode="External"/><Relationship Id="rId10" Type="http://schemas.openxmlformats.org/officeDocument/2006/relationships/hyperlink" Target="mailto:luizaadecio@gmail.com" TargetMode="External"/><Relationship Id="rId31" Type="http://schemas.openxmlformats.org/officeDocument/2006/relationships/hyperlink" Target="https://doi.org/10.1111/jvh.13527" TargetMode="External"/><Relationship Id="rId44" Type="http://schemas.openxmlformats.org/officeDocument/2006/relationships/hyperlink" Target="https://doi.org/10.1097/MD.0000000000021270" TargetMode="External"/><Relationship Id="rId52" Type="http://schemas.openxmlformats.org/officeDocument/2006/relationships/hyperlink" Target="https://www.google.com/search?q=https://doi.org/10.4269/ajtmh.15-0216" TargetMode="External"/><Relationship Id="rId60" Type="http://schemas.openxmlformats.org/officeDocument/2006/relationships/hyperlink" Target="https://www.google.com/search?q=https://doi.org/10.1038/s41575-022-00608-8" TargetMode="External"/><Relationship Id="rId4" Type="http://schemas.openxmlformats.org/officeDocument/2006/relationships/settings" Target="settings.xml"/><Relationship Id="rId9" Type="http://schemas.openxmlformats.org/officeDocument/2006/relationships/hyperlink" Target="mailto:henrique.schell@gmail.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Pasta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18572326179935725"/>
          <c:y val="6.9444444444444448E-2"/>
          <c:w val="0.79148471768104456"/>
          <c:h val="0.73389253426654999"/>
        </c:manualLayout>
      </c:layout>
      <c:barChart>
        <c:barDir val="col"/>
        <c:grouping val="stacked"/>
        <c:varyColors val="0"/>
        <c:ser>
          <c:idx val="0"/>
          <c:order val="0"/>
          <c:tx>
            <c:strRef>
              <c:f>Planilha1!$A$6</c:f>
              <c:strCache>
                <c:ptCount val="1"/>
                <c:pt idx="0">
                  <c:v>Cura</c:v>
                </c:pt>
              </c:strCache>
            </c:strRef>
          </c:tx>
          <c:spPr>
            <a:solidFill>
              <a:schemeClr val="dk1">
                <a:tint val="88500"/>
              </a:schemeClr>
            </a:solidFill>
            <a:ln>
              <a:noFill/>
            </a:ln>
            <a:effectLst/>
          </c:spPr>
          <c:invertIfNegative val="0"/>
          <c:cat>
            <c:strRef>
              <c:f>Planilha1!$B$5:$F$5</c:f>
              <c:strCache>
                <c:ptCount val="5"/>
                <c:pt idx="0">
                  <c:v>Hep B Aguda</c:v>
                </c:pt>
                <c:pt idx="1">
                  <c:v>Hep B Crônica</c:v>
                </c:pt>
                <c:pt idx="2">
                  <c:v>Coinfecção</c:v>
                </c:pt>
                <c:pt idx="3">
                  <c:v>Hep C Aguda</c:v>
                </c:pt>
                <c:pt idx="4">
                  <c:v>Hep C Crônica</c:v>
                </c:pt>
              </c:strCache>
            </c:strRef>
          </c:cat>
          <c:val>
            <c:numRef>
              <c:f>Planilha1!$B$6:$F$6</c:f>
              <c:numCache>
                <c:formatCode>0.00%</c:formatCode>
                <c:ptCount val="5"/>
                <c:pt idx="0">
                  <c:v>0.23080000000000001</c:v>
                </c:pt>
                <c:pt idx="1">
                  <c:v>0.24590000000000001</c:v>
                </c:pt>
                <c:pt idx="2">
                  <c:v>0.1666</c:v>
                </c:pt>
                <c:pt idx="3">
                  <c:v>0.55549999999999999</c:v>
                </c:pt>
                <c:pt idx="4">
                  <c:v>0.4375</c:v>
                </c:pt>
              </c:numCache>
            </c:numRef>
          </c:val>
          <c:extLst>
            <c:ext xmlns:c16="http://schemas.microsoft.com/office/drawing/2014/chart" uri="{C3380CC4-5D6E-409C-BE32-E72D297353CC}">
              <c16:uniqueId val="{00000000-F06F-47C4-9F58-58261F8736BF}"/>
            </c:ext>
          </c:extLst>
        </c:ser>
        <c:ser>
          <c:idx val="1"/>
          <c:order val="1"/>
          <c:tx>
            <c:strRef>
              <c:f>Planilha1!$A$7</c:f>
              <c:strCache>
                <c:ptCount val="1"/>
                <c:pt idx="0">
                  <c:v>Carga Detectável</c:v>
                </c:pt>
              </c:strCache>
            </c:strRef>
          </c:tx>
          <c:spPr>
            <a:solidFill>
              <a:schemeClr val="dk1">
                <a:tint val="55000"/>
              </a:schemeClr>
            </a:solidFill>
            <a:ln>
              <a:noFill/>
            </a:ln>
            <a:effectLst/>
          </c:spPr>
          <c:invertIfNegative val="0"/>
          <c:cat>
            <c:strRef>
              <c:f>Planilha1!$B$5:$F$5</c:f>
              <c:strCache>
                <c:ptCount val="5"/>
                <c:pt idx="0">
                  <c:v>Hep B Aguda</c:v>
                </c:pt>
                <c:pt idx="1">
                  <c:v>Hep B Crônica</c:v>
                </c:pt>
                <c:pt idx="2">
                  <c:v>Coinfecção</c:v>
                </c:pt>
                <c:pt idx="3">
                  <c:v>Hep C Aguda</c:v>
                </c:pt>
                <c:pt idx="4">
                  <c:v>Hep C Crônica</c:v>
                </c:pt>
              </c:strCache>
            </c:strRef>
          </c:cat>
          <c:val>
            <c:numRef>
              <c:f>Planilha1!$B$7:$F$7</c:f>
              <c:numCache>
                <c:formatCode>0.00%</c:formatCode>
                <c:ptCount val="5"/>
                <c:pt idx="0">
                  <c:v>0.61529999999999996</c:v>
                </c:pt>
                <c:pt idx="1">
                  <c:v>0.52449999999999997</c:v>
                </c:pt>
                <c:pt idx="2">
                  <c:v>0.33329999999999999</c:v>
                </c:pt>
                <c:pt idx="3">
                  <c:v>0.33329999999999999</c:v>
                </c:pt>
                <c:pt idx="4">
                  <c:v>0.35709999999999997</c:v>
                </c:pt>
              </c:numCache>
            </c:numRef>
          </c:val>
          <c:extLst>
            <c:ext xmlns:c16="http://schemas.microsoft.com/office/drawing/2014/chart" uri="{C3380CC4-5D6E-409C-BE32-E72D297353CC}">
              <c16:uniqueId val="{00000001-F06F-47C4-9F58-58261F8736BF}"/>
            </c:ext>
          </c:extLst>
        </c:ser>
        <c:ser>
          <c:idx val="2"/>
          <c:order val="2"/>
          <c:tx>
            <c:strRef>
              <c:f>Planilha1!$A$8</c:f>
              <c:strCache>
                <c:ptCount val="1"/>
                <c:pt idx="0">
                  <c:v>Inconclusivo</c:v>
                </c:pt>
              </c:strCache>
            </c:strRef>
          </c:tx>
          <c:spPr>
            <a:solidFill>
              <a:schemeClr val="dk1">
                <a:tint val="75000"/>
              </a:schemeClr>
            </a:solidFill>
            <a:ln>
              <a:noFill/>
            </a:ln>
            <a:effectLst/>
          </c:spPr>
          <c:invertIfNegative val="0"/>
          <c:cat>
            <c:strRef>
              <c:f>Planilha1!$B$5:$F$5</c:f>
              <c:strCache>
                <c:ptCount val="5"/>
                <c:pt idx="0">
                  <c:v>Hep B Aguda</c:v>
                </c:pt>
                <c:pt idx="1">
                  <c:v>Hep B Crônica</c:v>
                </c:pt>
                <c:pt idx="2">
                  <c:v>Coinfecção</c:v>
                </c:pt>
                <c:pt idx="3">
                  <c:v>Hep C Aguda</c:v>
                </c:pt>
                <c:pt idx="4">
                  <c:v>Hep C Crônica</c:v>
                </c:pt>
              </c:strCache>
            </c:strRef>
          </c:cat>
          <c:val>
            <c:numRef>
              <c:f>Planilha1!$B$8:$F$8</c:f>
              <c:numCache>
                <c:formatCode>0.00%</c:formatCode>
                <c:ptCount val="5"/>
                <c:pt idx="0">
                  <c:v>0.15379999999999999</c:v>
                </c:pt>
                <c:pt idx="1">
                  <c:v>0.22950000000000001</c:v>
                </c:pt>
                <c:pt idx="2">
                  <c:v>0.5</c:v>
                </c:pt>
                <c:pt idx="3">
                  <c:v>0.1111</c:v>
                </c:pt>
                <c:pt idx="4">
                  <c:v>0.20530000000000001</c:v>
                </c:pt>
              </c:numCache>
            </c:numRef>
          </c:val>
          <c:extLst>
            <c:ext xmlns:c16="http://schemas.microsoft.com/office/drawing/2014/chart" uri="{C3380CC4-5D6E-409C-BE32-E72D297353CC}">
              <c16:uniqueId val="{00000002-F06F-47C4-9F58-58261F8736BF}"/>
            </c:ext>
          </c:extLst>
        </c:ser>
        <c:dLbls>
          <c:showLegendKey val="0"/>
          <c:showVal val="0"/>
          <c:showCatName val="0"/>
          <c:showSerName val="0"/>
          <c:showPercent val="0"/>
          <c:showBubbleSize val="0"/>
        </c:dLbls>
        <c:gapWidth val="150"/>
        <c:overlap val="100"/>
        <c:axId val="389957008"/>
        <c:axId val="389952688"/>
      </c:barChart>
      <c:catAx>
        <c:axId val="389957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crossAx val="389952688"/>
        <c:crosses val="autoZero"/>
        <c:auto val="1"/>
        <c:lblAlgn val="ctr"/>
        <c:lblOffset val="100"/>
        <c:noMultiLvlLbl val="0"/>
      </c:catAx>
      <c:valAx>
        <c:axId val="389952688"/>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solidFill>
                      <a:schemeClr val="tx1"/>
                    </a:solidFill>
                    <a:latin typeface="Times New Roman" panose="02020603050405020304" pitchFamily="18" charset="0"/>
                    <a:cs typeface="Times New Roman" panose="02020603050405020304" pitchFamily="18" charset="0"/>
                  </a:rPr>
                  <a:t>Frequência</a:t>
                </a:r>
                <a:r>
                  <a:rPr lang="en-US" baseline="0">
                    <a:solidFill>
                      <a:schemeClr val="tx1"/>
                    </a:solidFill>
                    <a:latin typeface="Times New Roman" panose="02020603050405020304" pitchFamily="18" charset="0"/>
                    <a:cs typeface="Times New Roman" panose="02020603050405020304" pitchFamily="18" charset="0"/>
                  </a:rPr>
                  <a:t> Relativa de Casos (%)</a:t>
                </a:r>
                <a:endParaRPr lang="en-US">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bg1">
                    <a:lumMod val="50000"/>
                  </a:schemeClr>
                </a:solidFill>
                <a:latin typeface="Times New Roman" panose="02020603050405020304" pitchFamily="18" charset="0"/>
                <a:ea typeface="+mn-ea"/>
                <a:cs typeface="Times New Roman" panose="02020603050405020304" pitchFamily="18" charset="0"/>
              </a:defRPr>
            </a:pPr>
            <a:endParaRPr lang="pt-BR"/>
          </a:p>
        </c:txPr>
        <c:crossAx val="389957008"/>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6350" cap="flat" cmpd="sng" algn="ctr">
      <a:solidFill>
        <a:schemeClr val="bg1">
          <a:lumMod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5A36E-F446-4794-8EFA-6A72CC79B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23</Pages>
  <Words>7867</Words>
  <Characters>46968</Characters>
  <Application>Microsoft Office Word</Application>
  <DocSecurity>0</DocSecurity>
  <Lines>853</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Roberta Oriques Becker</cp:lastModifiedBy>
  <cp:revision>70</cp:revision>
  <cp:lastPrinted>2025-12-01T17:52:00Z</cp:lastPrinted>
  <dcterms:created xsi:type="dcterms:W3CDTF">2025-12-01T15:56:00Z</dcterms:created>
  <dcterms:modified xsi:type="dcterms:W3CDTF">2026-04-17T19:15:00Z</dcterms:modified>
</cp:coreProperties>
</file>