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start"/>
        <w:rPr/>
      </w:pPr>
      <w:r>
        <w:rPr/>
        <w:t>1. Fundamentação Teórica</w:t>
      </w:r>
    </w:p>
    <w:p>
      <w:pPr>
        <w:pStyle w:val="BodyText"/>
        <w:bidi w:val="0"/>
        <w:jc w:val="start"/>
        <w:rPr/>
      </w:pPr>
      <w:r>
        <w:rPr/>
        <w:t xml:space="preserve">A perfusão extracorpórea moderna tem migrado de estratégias baseadas exclusivamente em fluxo indexado (IC) para modelos orientados pela </w:t>
      </w:r>
      <w:r>
        <w:rPr>
          <w:rStyle w:val="Strong"/>
        </w:rPr>
        <w:t>oferta de oxigênio (DO₂)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Estudos observacionais associam: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iDO₂ &lt; 260–280 mL/min/m²</w:t>
        <w:br/>
        <w:t>com maior incidência de lesão renal aguda e complicações pós-operatórias.</w:t>
      </w:r>
    </w:p>
    <w:p>
      <w:pPr>
        <w:pStyle w:val="BodyText"/>
        <w:bidi w:val="0"/>
        <w:jc w:val="start"/>
        <w:rPr/>
      </w:pPr>
      <w:r>
        <w:rPr/>
        <w:t>Assim, o presente sistema foi estruturado com base em quatro eixos fisiológicos principais: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Oferta de oxigênio (iDO₂)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Capacidade de transporte (Hematócrito)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Adequação hemodinâmica (IC)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Resposta metabólica (Lactato)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2. Estrutura Conceitual do Escore</w:t>
      </w:r>
    </w:p>
    <w:p>
      <w:pPr>
        <w:pStyle w:val="BodyText"/>
        <w:bidi w:val="0"/>
        <w:jc w:val="start"/>
        <w:rPr/>
      </w:pPr>
      <w:r>
        <w:rPr/>
        <w:t>O escore foi construído com ponderação hierárquica baseada na relevância fisiológica:</w:t>
      </w:r>
    </w:p>
    <w:p>
      <w:pPr>
        <w:pStyle w:val="Heading3"/>
        <w:bidi w:val="0"/>
        <w:jc w:val="start"/>
        <w:rPr/>
      </w:pPr>
      <w:r>
        <w:rPr/>
        <w:t>2.1 Variável Primária</w:t>
      </w:r>
    </w:p>
    <w:p>
      <w:pPr>
        <w:pStyle w:val="BodyText"/>
        <w:bidi w:val="0"/>
        <w:jc w:val="start"/>
        <w:rPr/>
      </w:pPr>
      <w:r>
        <w:rPr>
          <w:rStyle w:val="Strong"/>
        </w:rPr>
        <w:t>Índice de Oferta de Oxigênio (iDO₂)</w:t>
      </w:r>
      <w:r>
        <w:rPr/>
        <w:br/>
        <w:t>Peso: 40% do escore total</w:t>
      </w:r>
    </w:p>
    <w:p>
      <w:pPr>
        <w:pStyle w:val="BodyText"/>
        <w:bidi w:val="0"/>
        <w:jc w:val="start"/>
        <w:rPr/>
      </w:pPr>
      <w:r>
        <w:rPr/>
        <w:t>Justificativa:</w:t>
        <w:br/>
        <w:t>iDO₂ integra fluxo e conteúdo arterial de oxigênio, representando o determinante direto da disponibilidade tecidual de O₂.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2.2 Variáveis Secundárias</w:t>
      </w:r>
    </w:p>
    <w:p>
      <w:pPr>
        <w:pStyle w:val="Heading4"/>
        <w:bidi w:val="0"/>
        <w:jc w:val="start"/>
        <w:rPr/>
      </w:pPr>
      <w:r>
        <w:rPr/>
        <w:t>Hematócrito</w:t>
      </w:r>
    </w:p>
    <w:p>
      <w:pPr>
        <w:pStyle w:val="BodyText"/>
        <w:bidi w:val="0"/>
        <w:jc w:val="start"/>
        <w:rPr/>
      </w:pPr>
      <w:r>
        <w:rPr/>
        <w:t>Peso: 20%</w:t>
      </w:r>
    </w:p>
    <w:p>
      <w:pPr>
        <w:pStyle w:val="BodyText"/>
        <w:bidi w:val="0"/>
        <w:jc w:val="start"/>
        <w:rPr/>
      </w:pPr>
      <w:r>
        <w:rPr/>
        <w:t>Reflete capacidade de transporte de oxigênio e impacto da hemodiluição.</w:t>
      </w:r>
    </w:p>
    <w:p>
      <w:pPr>
        <w:pStyle w:val="Heading4"/>
        <w:bidi w:val="0"/>
        <w:jc w:val="start"/>
        <w:rPr/>
      </w:pPr>
      <w:r>
        <w:rPr/>
        <w:t>Lactato</w:t>
      </w:r>
    </w:p>
    <w:p>
      <w:pPr>
        <w:pStyle w:val="BodyText"/>
        <w:bidi w:val="0"/>
        <w:jc w:val="start"/>
        <w:rPr/>
      </w:pPr>
      <w:r>
        <w:rPr/>
        <w:t>Peso: 20%</w:t>
      </w:r>
    </w:p>
    <w:p>
      <w:pPr>
        <w:pStyle w:val="BodyText"/>
        <w:bidi w:val="0"/>
        <w:jc w:val="start"/>
        <w:rPr/>
      </w:pPr>
      <w:r>
        <w:rPr/>
        <w:t>Representa marcador metabólico indireto de hipoperfusão ou dependência de oferta.</w:t>
      </w:r>
    </w:p>
    <w:p>
      <w:pPr>
        <w:pStyle w:val="Heading4"/>
        <w:bidi w:val="0"/>
        <w:jc w:val="start"/>
        <w:rPr/>
      </w:pPr>
      <w:r>
        <w:rPr/>
        <w:t>Índice Cardíaco (IC)</w:t>
      </w:r>
    </w:p>
    <w:p>
      <w:pPr>
        <w:pStyle w:val="BodyText"/>
        <w:bidi w:val="0"/>
        <w:jc w:val="start"/>
        <w:rPr/>
      </w:pPr>
      <w:r>
        <w:rPr/>
        <w:t>Peso: 20%</w:t>
      </w:r>
    </w:p>
    <w:p>
      <w:pPr>
        <w:pStyle w:val="BodyText"/>
        <w:bidi w:val="0"/>
        <w:jc w:val="start"/>
        <w:rPr/>
      </w:pPr>
      <w:r>
        <w:rPr/>
        <w:t>Reflete adequação hemodinâmica ajustada à superfície corporal.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3. Estrutura de Pontuação</w:t>
      </w:r>
    </w:p>
    <w:p>
      <w:pPr>
        <w:pStyle w:val="Heading3"/>
        <w:bidi w:val="0"/>
        <w:jc w:val="start"/>
        <w:rPr/>
      </w:pPr>
      <w:r>
        <w:rPr/>
        <w:t>3.1 iDO₂ (0–4 pontos)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≥ </w:t>
      </w:r>
      <w:r>
        <w:rPr/>
        <w:t>320 mL/min/m² → 4 pontos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300–319 → 3 pontos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260–299 → 2 pontos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&lt; 260 → 0 pontos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3.2 Hematócrito (0–2 pontos)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≥ </w:t>
      </w:r>
      <w:r>
        <w:rPr/>
        <w:t>25% → 2 pontos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22–24% → 1 ponto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&lt; 22% → 0 pontos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3.3 Lactato (0–2 pontos)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≤ </w:t>
      </w:r>
      <w:r>
        <w:rPr/>
        <w:t>2 mmol/L → 2 pontos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2–3 → 1 ponto</w:t>
      </w:r>
    </w:p>
    <w:p>
      <w:pPr>
        <w:pStyle w:val="Blocodecitao"/>
        <w:numPr>
          <w:ilvl w:val="0"/>
          <w:numId w:val="5"/>
        </w:numPr>
        <w:tabs>
          <w:tab w:val="clear" w:pos="709"/>
          <w:tab w:val="left" w:pos="1276" w:leader="none"/>
        </w:tabs>
        <w:bidi w:val="0"/>
        <w:ind w:hanging="283" w:start="1276"/>
        <w:jc w:val="start"/>
        <w:rPr/>
      </w:pPr>
      <w:r>
        <w:rPr/>
        <w:t>3 → 0 pontos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3.4 Índice Cardíaco (0–2 pontos)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≥ </w:t>
      </w:r>
      <w:r>
        <w:rPr/>
        <w:t>2.4 L/min/m² → 2 pontos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2.2–2.39 → 1 ponto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&lt; 2.2 → 0 pontos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4. Regras de Segurança (Critérios de Override Fisiológico)</w:t>
      </w:r>
    </w:p>
    <w:p>
      <w:pPr>
        <w:pStyle w:val="BodyText"/>
        <w:bidi w:val="0"/>
        <w:jc w:val="start"/>
        <w:rPr/>
      </w:pPr>
      <w:r>
        <w:rPr/>
        <w:t>Para evitar viés matemático em situações de risco fisiológico evidente, foram implementadas regras de corte:</w:t>
      </w:r>
    </w:p>
    <w:p>
      <w:pPr>
        <w:pStyle w:val="Heading3"/>
        <w:bidi w:val="0"/>
        <w:jc w:val="start"/>
        <w:rPr/>
      </w:pPr>
      <w:r>
        <w:rPr/>
        <w:t>4.1 Falha de Oferta Crítica</w:t>
      </w:r>
    </w:p>
    <w:p>
      <w:pPr>
        <w:pStyle w:val="BodyText"/>
        <w:bidi w:val="0"/>
        <w:jc w:val="start"/>
        <w:rPr/>
      </w:pPr>
      <w:r>
        <w:rPr/>
        <w:t>Se: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iDO₂ &lt; 260</w:t>
        <w:br/>
        <w:t>E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Lactato &gt; 3 mmol/L</w:t>
      </w:r>
    </w:p>
    <w:p>
      <w:pPr>
        <w:pStyle w:val="BodyText"/>
        <w:bidi w:val="0"/>
        <w:jc w:val="start"/>
        <w:rPr/>
      </w:pPr>
      <w:r>
        <w:rPr/>
        <w:t xml:space="preserve">Classificação final automaticamente definida como </w:t>
      </w:r>
      <w:r>
        <w:rPr>
          <w:rStyle w:val="Strong"/>
        </w:rPr>
        <w:t>Perfusão Inadequada</w:t>
      </w:r>
      <w:r>
        <w:rPr/>
        <w:t>, independentemente da soma.</w:t>
      </w:r>
    </w:p>
    <w:p>
      <w:pPr>
        <w:pStyle w:val="BodyText"/>
        <w:bidi w:val="0"/>
        <w:jc w:val="start"/>
        <w:rPr/>
      </w:pPr>
      <w:r>
        <w:rPr/>
        <w:t>Justificativa:</w:t>
        <w:br/>
        <w:t>Associação de baixa oferta com evidência metabólica de hipoperfusão.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4.2 Hemodiluição com Fluxo Insuficiente</w:t>
      </w:r>
    </w:p>
    <w:p>
      <w:pPr>
        <w:pStyle w:val="BodyText"/>
        <w:bidi w:val="0"/>
        <w:jc w:val="start"/>
        <w:rPr/>
      </w:pPr>
      <w:r>
        <w:rPr/>
        <w:t>Se: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Hematócrito &lt; 22%</w:t>
        <w:br/>
        <w:t>E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IC &lt; 2.2</w:t>
      </w:r>
    </w:p>
    <w:p>
      <w:pPr>
        <w:pStyle w:val="BodyText"/>
        <w:bidi w:val="0"/>
        <w:jc w:val="start"/>
        <w:rPr/>
      </w:pPr>
      <w:r>
        <w:rPr/>
        <w:t>Subtrai-se 1 ponto do escore final.</w:t>
      </w:r>
    </w:p>
    <w:p>
      <w:pPr>
        <w:pStyle w:val="BodyText"/>
        <w:bidi w:val="0"/>
        <w:jc w:val="start"/>
        <w:rPr/>
      </w:pPr>
      <w:r>
        <w:rPr/>
        <w:t>Justificativa:</w:t>
        <w:br/>
        <w:t>Redução simultânea da capacidade de transporte e da entrega volumétrica.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5. Classificação Final</w:t>
      </w:r>
    </w:p>
    <w:tbl>
      <w:tblPr>
        <w:tblW w:w="3161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809"/>
        <w:gridCol w:w="2352"/>
      </w:tblGrid>
      <w:tr>
        <w:trPr>
          <w:tblHeader w:val="true"/>
        </w:trPr>
        <w:tc>
          <w:tcPr>
            <w:tcW w:w="809" w:type="dxa"/>
            <w:tcBorders/>
            <w:vAlign w:val="center"/>
          </w:tcPr>
          <w:p>
            <w:pPr>
              <w:pStyle w:val="Ttulodetabela"/>
              <w:suppressLineNumbers/>
              <w:bidi w:val="0"/>
              <w:jc w:val="center"/>
              <w:rPr/>
            </w:pPr>
            <w:r>
              <w:rPr/>
              <w:t>Escore</w:t>
            </w:r>
          </w:p>
        </w:tc>
        <w:tc>
          <w:tcPr>
            <w:tcW w:w="2352" w:type="dxa"/>
            <w:tcBorders/>
            <w:vAlign w:val="center"/>
          </w:tcPr>
          <w:p>
            <w:pPr>
              <w:pStyle w:val="Ttulodetabela"/>
              <w:suppressLineNumbers/>
              <w:bidi w:val="0"/>
              <w:jc w:val="center"/>
              <w:rPr/>
            </w:pPr>
            <w:r>
              <w:rPr/>
              <w:t>Interpretação Clínica</w:t>
            </w:r>
          </w:p>
        </w:tc>
      </w:tr>
      <w:tr>
        <w:trPr/>
        <w:tc>
          <w:tcPr>
            <w:tcW w:w="80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9–10</w:t>
            </w:r>
          </w:p>
        </w:tc>
        <w:tc>
          <w:tcPr>
            <w:tcW w:w="235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Perfusão ótima</w:t>
            </w:r>
          </w:p>
        </w:tc>
      </w:tr>
      <w:tr>
        <w:trPr/>
        <w:tc>
          <w:tcPr>
            <w:tcW w:w="80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7–8</w:t>
            </w:r>
          </w:p>
        </w:tc>
        <w:tc>
          <w:tcPr>
            <w:tcW w:w="235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Perfusão adequada</w:t>
            </w:r>
          </w:p>
        </w:tc>
      </w:tr>
      <w:tr>
        <w:trPr/>
        <w:tc>
          <w:tcPr>
            <w:tcW w:w="80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5–6</w:t>
            </w:r>
          </w:p>
        </w:tc>
        <w:tc>
          <w:tcPr>
            <w:tcW w:w="235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Perfusão limítrofe</w:t>
            </w:r>
          </w:p>
        </w:tc>
      </w:tr>
      <w:tr>
        <w:trPr/>
        <w:tc>
          <w:tcPr>
            <w:tcW w:w="80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≤ </w:t>
            </w:r>
            <w:r>
              <w:rPr/>
              <w:t>4</w:t>
            </w:r>
          </w:p>
        </w:tc>
        <w:tc>
          <w:tcPr>
            <w:tcW w:w="235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Perfusão inadequada</w:t>
            </w:r>
          </w:p>
        </w:tc>
      </w:tr>
    </w:tbl>
    <w:p>
      <w:pPr>
        <w:pStyle w:val="Linhahorizontal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6. Base Conceitual</w:t>
      </w:r>
    </w:p>
    <w:p>
      <w:pPr>
        <w:pStyle w:val="BodyText"/>
        <w:bidi w:val="0"/>
        <w:jc w:val="start"/>
        <w:rPr/>
      </w:pPr>
      <w:r>
        <w:rPr/>
        <w:t>O modelo é fundamentado em: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Perfusão orientada por DO₂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Estratégias de Patient Blood Management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Evidências observacionais sobre limiar crítico de oferta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Integração de parâmetros hemodinâmicos e metabólicos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7. Natureza do Sistema</w:t>
      </w:r>
    </w:p>
    <w:p>
      <w:pPr>
        <w:pStyle w:val="BodyText"/>
        <w:bidi w:val="0"/>
        <w:jc w:val="start"/>
        <w:rPr/>
      </w:pPr>
      <w:r>
        <w:rPr/>
        <w:t>Trata-se de um modelo educacional estruturado para: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Simulação de cenários perfusionais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Ensino de integração fisiológica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Avaliação comparativa de condutas</w:t>
      </w:r>
    </w:p>
    <w:p>
      <w:pPr>
        <w:pStyle w:val="BodyText"/>
        <w:bidi w:val="0"/>
        <w:jc w:val="start"/>
        <w:rPr/>
      </w:pPr>
      <w:r>
        <w:rPr/>
        <w:t>Não substitui julgamento clínico.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6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pt-BR" w:eastAsia="zh-CN" w:bidi="hi-IN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paragraph" w:styleId="Heading4">
    <w:name w:val="heading 4"/>
    <w:basedOn w:val="Ttulo"/>
    <w:next w:val="BodyText"/>
    <w:qFormat/>
    <w:pPr>
      <w:spacing w:before="120" w:after="120"/>
      <w:outlineLvl w:val="3"/>
    </w:pPr>
    <w:rPr>
      <w:rFonts w:ascii="Liberation Serif" w:hAnsi="Liberation Serif" w:eastAsia="NSimSun" w:cs="Lucida Sans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Smbolosdenumerao">
    <w:name w:val="Símbolos de numeração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Linhahorizontal">
    <w:name w:val="Linh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odecitao">
    <w:name w:val="Bloco de citação"/>
    <w:basedOn w:val="Normal"/>
    <w:qFormat/>
    <w:pPr>
      <w:spacing w:before="0" w:after="283"/>
      <w:ind w:hanging="0" w:start="567" w:end="567"/>
    </w:pPr>
    <w:rPr/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LibreOffice/25.2.7.2$Windows_X86_64 LibreOffice_project/5cbfd1ab6520636bb5f7b99185aa69bd7456825d</Application>
  <AppVersion>15.0000</AppVersion>
  <Pages>4</Pages>
  <Words>462</Words>
  <Characters>2385</Characters>
  <CharactersWithSpaces>2710</CharactersWithSpaces>
  <Paragraphs>79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2026-02-15T22:55:39Z</dcterms:created>
  <dc:creator/>
  <dc:description/>
  <dc:language>pt-BR</dc:language>
  <cp:lastModifiedBy/>
  <dcterms:modified xsi:type="dcterms:W3CDTF">2026-02-15T22:55:47Z</dcterms:modified>
  <cp:revision>1</cp:revision>
  <dc:subject/>
  <dc:title/>
</cp:coreProperties>
</file>