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 w:line="276" w:lineRule="auto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Aplicação de Machine Learning na Previsão de Alagamentos Urbanos na Cidade de São Paulo</w:t>
      </w:r>
    </w:p>
    <w:p>
      <w:pPr>
        <w:spacing w:after="80" w:before="0" w:line="276" w:lineRule="auto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Henrique Nascimento Santos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¹*;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Victor Inacio de Oliveira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²</w:t>
      </w:r>
    </w:p>
    <w:p>
      <w:pPr>
        <w:spacing w:after="40" w:before="0" w:line="276" w:lineRule="auto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¹* MBA em Data Science e Analytics. USP/Esalq. E-mail: henrique.nascimento@email.com</w:t>
      </w:r>
    </w:p>
    <w:p>
      <w:pPr>
        <w:spacing w:after="240" w:before="0" w:line="276" w:lineRule="auto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² Orientador. USP/Esalq.</w:t>
      </w:r>
    </w:p>
    <w:p>
      <w:pPr>
        <w:pStyle w:val="Heading1"/>
        <w:spacing w:after="120" w:before="240" w:line="276" w:lineRule="auto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Resumo</w:t>
      </w:r>
    </w:p>
    <w:p>
      <w:pPr>
        <w:spacing w:after="120" w:before="80" w:line="276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Este trabalho apresenta os resultados preliminares de um estudo voltado ao desenvolvimento de modelos de Machine Learning para a previsão de alagamentos urbanos na cidade de São Paulo. A pesquisa integrou três fontes de dados: registros históricos de alagamentos do Centro de Gerenciamento de Emergências Climáticas (CGE/PMSP), dados meteorológicos do Instituto Nacional de Meteorologia (INMET) interpolados por ponderação inversa à distância (IDW), e dados de precipitação e umidade do solo provenientes da reanálise ERA5 via API Open-Meteo. Adicionalmente, foram incorporados dados de pluviômetros automáticos do CEMADEN (95 estações no município de SP). Após a consolidação e engenharia de atributos, foram avaliados quatro modelos de classificação — Regressão Logística, Random Forest, XGBoost e LightGBM — com validação temporal por TimeSeriesSplit (5 folds). O modelo Random Forest obteve os melhores resultados, com AUC-PR de 0,850, AUC-ROC de 0,930, F1-score de 0,778 e Recall de 0,845. O ablation study demonstrou que a rede CEMADEN contribuiu com ganho de +0,196 em AUC-PR em relação ao uso exclusivo do ERA5, evidenciando o valor das fontes locais de precipitação na previsão de eventos hidrológicos urbanos.</w:t>
      </w:r>
    </w:p>
    <w:p>
      <w:pPr>
        <w:spacing w:after="240" w:before="80" w:line="276" w:lineRule="auto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Palavras-chave: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alagamentos urbanos; machine learning; São Paulo; CEMADEN; precipitação; previsão hidrológica.</w:t>
      </w:r>
    </w:p>
    <w:p>
      <w:pPr>
        <w:pStyle w:val="Heading1"/>
        <w:spacing w:after="120" w:before="240" w:line="276" w:lineRule="auto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Introdução</w:t>
      </w:r>
    </w:p>
    <w:p>
      <w:pPr>
        <w:spacing w:after="120" w:before="120" w:line="276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Eventos de alagamento urbano representam um dos principais desafios enfrentados por grandes centros urbanos, especialmente em metrópoles como São Paulo, onde a combinação entre alta densidade populacional, expansão de superfícies impermeáveis e limitações nos sistemas de drenagem eleva a vulnerabilidade a eventos de inundação pluvial. Estudos recentes indicam que mudanças climáticas têm amplificado a frequência e a intensidade de eventos extremos de precipitação em diversas regiões metropolitanas (IPCC, 2021), tornando o desenvolvimento de ferramentas preditivas um elemento central para o planejamento urbano e para a implementação de sistemas de alerta precoce.</w:t>
      </w:r>
    </w:p>
    <w:p>
      <w:pPr>
        <w:spacing w:after="120" w:before="120" w:line="276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Métodos tradicionais de previsão de alagamentos — baseados em limiares de precipitação acumulada ou em modelos hidrológicos físicos — apresentam limitações na capacidade de capturar relações complexas entre múltiplas variáveis ambientais e meteorológicas, especialmente em ambientes urbanos com alta variabilidade espacial e temporal (Mosavi, Ozturk e Chau, 2018). Nesse contexto, técnicas de aprendizado de máquina têm emergido como alternativas promissoras, com capacidade de identificar padrões não lineares em grandes volumes de dados históricos.</w:t>
      </w:r>
    </w:p>
    <w:p>
      <w:pPr>
        <w:spacing w:after="120" w:before="120" w:line="276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Viteri López e Morales Rodriguez (2020) desenvolveram um modelo de regressão logística binária para previsão de enchentes em São Paulo utilizando dados de precipitação por radar e registros do CGE, demonstrando que variáveis de intensidade e acumulado de precipitação apresentam forte relação com a ocorrência de alagamentos. O presente estudo avança nessa direção ao ampliar o conjunto de fontes de dados, incorporar variáveis de umidade do solo e dados de pluviômetros automáticos da rede CEMADEN, e avaliar modelos de maior complexidade.</w:t>
      </w:r>
    </w:p>
    <w:p>
      <w:pPr>
        <w:spacing w:after="120" w:before="120" w:line="276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Diante desse contexto, este trabalho busca responder à seguinte questão: é possível prever a ocorrência de alagamentos urbanos na cidade de São Paulo utilizando técnicas de Machine Learning a partir de dados meteorológicos históricos e registros de eventos anteriores, com desempenho superior ao de abordagens baseadas exclusivamente em precipitação?</w:t>
      </w:r>
    </w:p>
    <w:p>
      <w:pPr>
        <w:pStyle w:val="Heading1"/>
        <w:spacing w:after="120" w:before="240" w:line="276" w:lineRule="auto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Metodologia</w:t>
      </w:r>
    </w:p>
    <w:p>
      <w:pPr>
        <w:pStyle w:val="Heading2"/>
        <w:spacing w:after="120" w:before="160" w:line="276" w:lineRule="auto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Fontes de dados</w:t>
      </w:r>
    </w:p>
    <w:p>
      <w:pPr>
        <w:spacing w:after="120" w:before="120" w:line="276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pesquisa integrou quatro fontes de dados cobrindo o período de janeiro de 2015 a maio de 2026, conforme descrito a seguir:</w:t>
      </w:r>
    </w:p>
    <w:p>
      <w:pPr>
        <w:spacing w:after="120" w:before="120" w:line="276" w:lineRule="auto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Registros de alagamentos (CGE/PMSP):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base histórica com 9.397 registros de ocorrências de alagamentos, contendo data, zona, bairro, endereço e status (transitável ou intransitável). A cada dia foram associados uma variável binária de ocorrência (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has_flooding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), o número de eventos e o número de ocorrências intransitáveis.</w:t>
      </w:r>
    </w:p>
    <w:p>
      <w:pPr>
        <w:spacing w:after="120" w:before="120" w:line="276" w:lineRule="auto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Dados meteorológicos INMET: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dados horários de 14 estações automáticas do estado de São Paulo, incluindo precipitação, temperatura (mínima, média e máxima), umidade relativa, velocidade do vento e pressão atmosférica. As estações apresentam cobertura geográfica heterogênea em relação ao município de São Paulo — com apenas a estação de Barueri (A755) localizada na Grande SP. Para corrigir essa limitação, foi aplicado o método de ponderação inversa à distância (IDW), gerando variáveis representativas do município ponderadas pela distância de cada estação ao centro geográfico de São Paulo.</w:t>
      </w:r>
    </w:p>
    <w:p>
      <w:pPr>
        <w:spacing w:after="120" w:before="120" w:line="276" w:lineRule="auto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Dados ERA5 via Open-Meteo: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variáveis meteorológicas e de superfície provenientes da reanálise atmosférica ERA5 do ECMWF, obtidas via API pública gratuita (Open-Meteo). Foram extraídas as seguintes variáveis diárias: precipitação total, evapotranspiração de referência (ET₀), temperatura (mínima, média e máxima), umidade relativa, velocidade do vento, cobertura de nuvens, radiação solar e déficit de pressão de vapor. Da reanálise ERA5-Land foram obtidas estimativas de umidade do solo em três camadas de profundidade (0–7 cm, 7–28 cm e 28–100 cm), com resolução espacial de aproximadamente 9 km.</w:t>
      </w:r>
    </w:p>
    <w:p>
      <w:pPr>
        <w:spacing w:after="120" w:before="120" w:line="276" w:lineRule="auto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Pluviômetros CEMADEN: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dados horários de 95 pluviômetros automáticos instalados no município de São Paulo, obtidos por download manual no portal do Centro Nacional de Monitoramento e Alertas de Desastres Naturais (CEMADEN). Os arquivos foram consolidados e agregados para nível diário por estação, com conversão de UTC para horário de São Paulo. A série temporal final apresentou cobertura de 99,9% dos dias do período analisado. A consolidação espacial foi realizada via IDW, gerando métricas representativas do município como precipitação média ponderada (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cemaden_precip_idw_mm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), mediana entre estações, máximo de precipitação e intensidade máxima horária.</w:t>
      </w:r>
    </w:p>
    <w:p>
      <w:pPr>
        <w:pStyle w:val="Heading2"/>
        <w:spacing w:after="120" w:before="160" w:line="276" w:lineRule="auto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Alterações em relação ao projeto original</w:t>
      </w:r>
    </w:p>
    <w:p>
      <w:pPr>
        <w:spacing w:after="120" w:before="120" w:line="276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 projeto de pesquisa original previa como fonte meteorológica principal os dados do INMET, com uso de webscraping para coleta dos dados CGE. Durante a fase de desenvolvimento, foram identificadas limitações que motivaram a ampliação e substituição parcial das fontes originais:</w:t>
      </w:r>
    </w:p>
    <w:p>
      <w:pPr>
        <w:pStyle w:val="ListParagraph"/>
        <w:numPr>
          <w:ilvl w:val="0"/>
          <w:numId w:val="2"/>
        </w:numPr>
        <w:spacing w:after="40" w:before="40" w:line="276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Os dados do INMET, embora úteis, apresentaram cobertura geográfica insuficiente para o município de São Paulo — a maioria das estações está localizada em cidades do interior ou litoral do estado, a distâncias de 100 a 240 km do centro da capital. A estação mais próxima (Barueri, A755) dista 24 km do centro de SP. Essa limitação foi mitigada pela aplicação do método IDW, mas motivou a busca por fontes com cobertura local mais densa.</w:t>
      </w:r>
    </w:p>
    <w:p>
      <w:pPr>
        <w:pStyle w:val="ListParagraph"/>
        <w:numPr>
          <w:ilvl w:val="0"/>
          <w:numId w:val="2"/>
        </w:numPr>
        <w:spacing w:after="40" w:before="40" w:line="276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API Open-Meteo (ERA5) foi incorporada como fonte complementar gratuita, fornecendo variáveis não disponíveis no INMET — especialmente a umidade do solo em diferentes profundidades, que demonstrou relevância preditiva significativa (correlação de Pearson r = 0,325 com o target).</w:t>
      </w:r>
    </w:p>
    <w:p>
      <w:pPr>
        <w:pStyle w:val="ListParagraph"/>
        <w:numPr>
          <w:ilvl w:val="0"/>
          <w:numId w:val="2"/>
        </w:numPr>
        <w:spacing w:after="40" w:before="40" w:line="276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Os pluviômetros do CEMADEN, com 95 estações distribuídas no município, passaram a ser a principal fonte de precipitação local, substituindo a coleta via webscraping do INMET. A análise de ablation demonstrou que os dados do CEMADEN sozinhos (AUC-PR = 0,851) superam o ERA5 sozinho (AUC-PR = 0,653) em aproximadamente 30%.</w:t>
      </w:r>
    </w:p>
    <w:p>
      <w:pPr>
        <w:pStyle w:val="ListParagraph"/>
        <w:numPr>
          <w:ilvl w:val="0"/>
          <w:numId w:val="2"/>
        </w:numPr>
        <w:spacing w:after="40" w:before="40" w:line="276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Os registros do CGE foram obtidos por extração direta de arquivos CSV disponibilizados pela Prefeitura de São Paulo, sem necessidade de webscraping. A biblioteca BeautifulSoup, prevista no projeto original, não foi utilizada.</w:t>
      </w:r>
    </w:p>
    <w:p>
      <w:pPr>
        <w:pStyle w:val="ListParagraph"/>
        <w:numPr>
          <w:ilvl w:val="0"/>
          <w:numId w:val="2"/>
        </w:numPr>
        <w:spacing w:after="40" w:before="40" w:line="276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 LightGBM foi incluído no conjunto de modelos avaliados, além dos modelos originalmente previstos (Regressão Logística, Random Forest e XGBoost).</w:t>
      </w:r>
    </w:p>
    <w:p>
      <w:pPr>
        <w:pStyle w:val="Heading2"/>
        <w:spacing w:after="120" w:before="160" w:line="276" w:lineRule="auto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Engenharia de atributos</w:t>
      </w:r>
    </w:p>
    <w:p>
      <w:pPr>
        <w:spacing w:after="120" w:before="120" w:line="276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partir das fontes descritas, foram construídas as seguintes categorias de variáveis:</w:t>
      </w:r>
    </w:p>
    <w:p>
      <w:pPr>
        <w:pStyle w:val="ListParagraph"/>
        <w:numPr>
          <w:ilvl w:val="0"/>
          <w:numId w:val="2"/>
        </w:numPr>
        <w:spacing w:after="40" w:before="40" w:line="276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Precipitação do dia: valores diários de CEMADEN (IDW, mediana, máximo, intensidade máxima horária) e ERA5 (precipitação total, horas de precipitação).</w:t>
      </w:r>
    </w:p>
    <w:p>
      <w:pPr>
        <w:pStyle w:val="ListParagraph"/>
        <w:numPr>
          <w:ilvl w:val="0"/>
          <w:numId w:val="2"/>
        </w:numPr>
        <w:spacing w:after="40" w:before="40" w:line="276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Acumulados temporais: precipitação acumulada em janelas de 3, 7 e 14 dias anteriores, para ambas as fontes, capturando o efeito de solo saturado sobre o escoamento superficial.</w:t>
      </w:r>
    </w:p>
    <w:p>
      <w:pPr>
        <w:pStyle w:val="ListParagraph"/>
        <w:numPr>
          <w:ilvl w:val="0"/>
          <w:numId w:val="2"/>
        </w:numPr>
        <w:spacing w:after="40" w:before="40" w:line="276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Lags de precipitação: precipitação dos 1, 2 e 3 dias anteriores, para capturar eventos com resposta hidrológica retardada.</w:t>
      </w:r>
    </w:p>
    <w:p>
      <w:pPr>
        <w:pStyle w:val="ListParagraph"/>
        <w:numPr>
          <w:ilvl w:val="0"/>
          <w:numId w:val="2"/>
        </w:numPr>
        <w:spacing w:after="40" w:before="40" w:line="276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Umidade do solo: média diária das três camadas ERA5-Land (0–7 cm, 7–28 cm, 28–100 cm), representando a pré-condição de saturação do solo.</w:t>
      </w:r>
    </w:p>
    <w:p>
      <w:pPr>
        <w:pStyle w:val="ListParagraph"/>
        <w:numPr>
          <w:ilvl w:val="0"/>
          <w:numId w:val="2"/>
        </w:numPr>
        <w:spacing w:after="40" w:before="40" w:line="276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Variáveis temporais: mês do ano e indicador de período chuvoso (novembro a março), incorporando a sazonalidade estrutural dos alagamentos.</w:t>
      </w:r>
    </w:p>
    <w:p>
      <w:pPr>
        <w:pStyle w:val="ListParagraph"/>
        <w:numPr>
          <w:ilvl w:val="0"/>
          <w:numId w:val="2"/>
        </w:numPr>
        <w:spacing w:after="40" w:before="40" w:line="276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Outras variáveis ERA5: temperatura mínima, umidade relativa média, cobertura de nuvens, evapotranspiração e déficit de pressão de vapor.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pacing w:after="120" w:before="120" w:line="276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 dataset final consolidado contém 4.153 observações diárias, 16 features, com 1.021 dias positivos (24,6%) e 3.132 dias negativos (75,4%), resultando em uma razão de desbalanceamento de 3,1:1.</w:t>
      </w:r>
    </w:p>
    <w:p>
      <w:pPr>
        <w:pStyle w:val="Heading2"/>
        <w:spacing w:after="120" w:before="160" w:line="276" w:lineRule="auto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Modelagem</w:t>
      </w:r>
    </w:p>
    <w:p>
      <w:pPr>
        <w:spacing w:after="120" w:before="120" w:line="276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Foram avaliados quatro modelos de classificação supervisionada: Regressão Logística (modelo baseline), Random Forest, XGBoost e LightGBM. Todos os modelos foram configurados para lidar com o desbalanceamento de classes, seja por meio do parâmetro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class_weight='balanced'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(Regressão Logística, Random Forest e LightGBM) ou por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scale_pos_weight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proporcional à razão de classes (XGBoost).</w:t>
      </w:r>
    </w:p>
    <w:p>
      <w:pPr>
        <w:spacing w:after="120" w:before="120" w:line="276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estratégia de validação adotada foi o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TimeSeriesSplit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com 5 folds, que respeita a ordem cronológica dos dados e evita data leakage — critério fundamental em séries temporais. Em cada fold, o modelo é treinado em dados passados e avaliado em dados futuros não observados durante o treinamento.</w:t>
      </w:r>
    </w:p>
    <w:p>
      <w:pPr>
        <w:pStyle w:val="Heading1"/>
        <w:spacing w:after="120" w:before="240" w:line="276" w:lineRule="auto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Resultados Preliminares</w:t>
      </w:r>
    </w:p>
    <w:p>
      <w:pPr>
        <w:pStyle w:val="Heading2"/>
        <w:spacing w:after="120" w:before="160" w:line="276" w:lineRule="auto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Análise exploratória</w:t>
      </w:r>
    </w:p>
    <w:p>
      <w:pPr>
        <w:spacing w:after="120" w:before="120" w:line="276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análise exploratória revelou padrões estruturais relevantes para a compreensão do fenômeno:</w:t>
      </w:r>
    </w:p>
    <w:p>
      <w:pPr>
        <w:pStyle w:val="ListParagraph"/>
        <w:numPr>
          <w:ilvl w:val="0"/>
          <w:numId w:val="2"/>
        </w:numPr>
        <w:spacing w:after="40" w:before="40" w:line="276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Sazonalidade acentuada: janeiro concentra 56,5% dos dias com alagamento, enquanto julho apresenta apenas 7,6%. A precipitação média diária varia de 6,2 mm em janeiro para 0,7 mm em julho.</w:t>
      </w:r>
    </w:p>
    <w:p>
      <w:pPr>
        <w:pStyle w:val="ListParagraph"/>
        <w:numPr>
          <w:ilvl w:val="0"/>
          <w:numId w:val="2"/>
        </w:numPr>
        <w:spacing w:after="40" w:before="40" w:line="276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Distribuição geográfica concentrada: a Zona Leste (2.294 eventos) e a Zona Oeste (2.154 eventos) concentram o maior volume de ocorrências. O bairro Sé lidera com 1.524 eventos, seguido por Lapa (900) e Pinheiros (778).</w:t>
      </w:r>
    </w:p>
    <w:p>
      <w:pPr>
        <w:pStyle w:val="ListParagraph"/>
        <w:numPr>
          <w:ilvl w:val="0"/>
          <w:numId w:val="2"/>
        </w:numPr>
        <w:spacing w:after="40" w:before="40" w:line="276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Limiar de precipitação: a probabilidade de alagamento supera 50% para dias com precipitação acima de aproximadamente 20 mm. Para dias sem chuva, a probabilidade é inferior a 5%.</w:t>
      </w:r>
    </w:p>
    <w:p>
      <w:pPr>
        <w:pStyle w:val="ListParagraph"/>
        <w:numPr>
          <w:ilvl w:val="0"/>
          <w:numId w:val="2"/>
        </w:numPr>
        <w:spacing w:after="40" w:before="40" w:line="276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Solo saturado amplifica o risco: dias com umidade do solo (0–7 cm) no quartil superior (Q4) apresentam taxa de alagamento 3 vezes maior que dias no quartil inferior (Q1).</w:t>
      </w:r>
    </w:p>
    <w:p>
      <w:pPr>
        <w:pStyle w:val="ListParagraph"/>
        <w:numPr>
          <w:ilvl w:val="0"/>
          <w:numId w:val="2"/>
        </w:numPr>
        <w:spacing w:after="40" w:before="40" w:line="276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Concordância CEMADEN-ERA5: a correlação de Spearman entre as duas séries de precipitação é de ρ = 0,765, com bias médio de −0,10 mm/dia, indicando boa concordância ordinal com diferenças em magnitude.</w:t>
      </w:r>
    </w:p>
    <w:p>
      <w:pPr>
        <w:pStyle w:val="Heading2"/>
        <w:spacing w:after="120" w:before="160" w:line="276" w:lineRule="auto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Correlações com o target</w:t>
      </w:r>
    </w:p>
    <w:p>
      <w:pPr>
        <w:spacing w:after="120" w:before="120" w:line="276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Tabela 1 apresenta as correlações de Pearson das principais features com a variável alvo (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has_flooding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):</w:t>
      </w:r>
    </w:p>
    <w:p>
      <w:pPr>
        <w:spacing w:after="0" w:before="0"/>
      </w:pPr>
      <w:r>
        <w:rPr>
          <w:sz w:val="40"/>
          <w:szCs w:val="40"/>
        </w:rPr>
        <w:t xml:space="preserve"/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1800"/>
        <w:gridCol w:w="2471"/>
      </w:tblGrid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Feature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Fonte</w:t>
            </w:r>
          </w:p>
        </w:tc>
        <w:tc>
          <w:tcPr>
            <w:tcW w:type="dxa" w:w="24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Correlação (r)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76" w:lineRule="auto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2"/>
                <w:szCs w:val="22"/>
              </w:rPr>
              <w:t xml:space="preserve">precipitation_sum (ERA5)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Open-Meteo</w:t>
            </w:r>
          </w:p>
        </w:tc>
        <w:tc>
          <w:tcPr>
            <w:tcW w:type="dxa" w:w="24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+0,503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76" w:lineRule="auto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2"/>
                <w:szCs w:val="22"/>
              </w:rPr>
              <w:t xml:space="preserve">cemaden_precip_median_mm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CEMADEN</w:t>
            </w:r>
          </w:p>
        </w:tc>
        <w:tc>
          <w:tcPr>
            <w:tcW w:type="dxa" w:w="24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+0,502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76" w:lineRule="auto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2"/>
                <w:szCs w:val="22"/>
              </w:rPr>
              <w:t xml:space="preserve">precipitation_sum_acc3d (ERA5)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Open-Meteo</w:t>
            </w:r>
          </w:p>
        </w:tc>
        <w:tc>
          <w:tcPr>
            <w:tcW w:type="dxa" w:w="24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+0,435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76" w:lineRule="auto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2"/>
                <w:szCs w:val="22"/>
              </w:rPr>
              <w:t xml:space="preserve">precipitation_sum_acc7d (ERA5)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Open-Meteo</w:t>
            </w:r>
          </w:p>
        </w:tc>
        <w:tc>
          <w:tcPr>
            <w:tcW w:type="dxa" w:w="24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+0,371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76" w:lineRule="auto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2"/>
                <w:szCs w:val="22"/>
              </w:rPr>
              <w:t xml:space="preserve">soil_moisture_0_to_7cm_mean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ERA5-Land</w:t>
            </w:r>
          </w:p>
        </w:tc>
        <w:tc>
          <w:tcPr>
            <w:tcW w:type="dxa" w:w="24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+0,325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76" w:lineRule="auto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2"/>
                <w:szCs w:val="22"/>
              </w:rPr>
              <w:t xml:space="preserve">cemaden_precip_acc7d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CEMADEN</w:t>
            </w:r>
          </w:p>
        </w:tc>
        <w:tc>
          <w:tcPr>
            <w:tcW w:type="dxa" w:w="24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+0,225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76" w:lineRule="auto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2"/>
                <w:szCs w:val="22"/>
              </w:rPr>
              <w:t xml:space="preserve">cemaden_precip_idw_mm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CEMADEN</w:t>
            </w:r>
          </w:p>
        </w:tc>
        <w:tc>
          <w:tcPr>
            <w:tcW w:type="dxa" w:w="24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+0,203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76" w:lineRule="auto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2"/>
                <w:szCs w:val="22"/>
              </w:rPr>
              <w:t xml:space="preserve">temperature_2m_min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Open-Meteo</w:t>
            </w:r>
          </w:p>
        </w:tc>
        <w:tc>
          <w:tcPr>
            <w:tcW w:type="dxa" w:w="24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+0,357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76" w:lineRule="auto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2"/>
                <w:szCs w:val="22"/>
              </w:rPr>
              <w:t xml:space="preserve">cloud_cover_mean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Open-Meteo</w:t>
            </w:r>
          </w:p>
        </w:tc>
        <w:tc>
          <w:tcPr>
            <w:tcW w:type="dxa" w:w="24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+0,294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76" w:lineRule="auto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2"/>
                <w:szCs w:val="22"/>
              </w:rPr>
              <w:t xml:space="preserve">cemaden_intensity_max_hor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CEMADEN</w:t>
            </w:r>
          </w:p>
        </w:tc>
        <w:tc>
          <w:tcPr>
            <w:tcW w:type="dxa" w:w="24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−0,007</w:t>
            </w:r>
          </w:p>
        </w:tc>
      </w:tr>
    </w:tbl>
    <w:p>
      <w:pPr>
        <w:spacing w:after="0" w:before="0"/>
      </w:pPr>
      <w:r>
        <w:rPr>
          <w:sz w:val="40"/>
          <w:szCs w:val="40"/>
        </w:rPr>
        <w:t xml:space="preserve"/>
      </w:r>
    </w:p>
    <w:p>
      <w:pPr>
        <w:spacing w:after="160" w:before="40" w:line="276" w:lineRule="auto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Tabela 1 — Correlações de Pearson das principais variáveis com o target </w:t>
      </w:r>
      <w:r>
        <w:rPr>
          <w:rFonts w:ascii="Arial" w:cs="Arial" w:eastAsia="Arial" w:hAnsi="Arial"/>
          <w:b w:val="false"/>
          <w:bCs w:val="false"/>
          <w:i/>
          <w:iCs/>
          <w:color w:val="666666"/>
          <w:sz w:val="20"/>
          <w:szCs w:val="20"/>
        </w:rPr>
        <w:t xml:space="preserve">has_flooding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.</w:t>
      </w:r>
    </w:p>
    <w:p>
      <w:pPr>
        <w:pStyle w:val="Heading2"/>
        <w:spacing w:after="120" w:before="160" w:line="276" w:lineRule="auto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Desempenho dos modelos</w:t>
      </w:r>
    </w:p>
    <w:p>
      <w:pPr>
        <w:spacing w:after="120" w:before="120" w:line="276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Tabela 2 apresenta os resultados de cross-validation (TimeSeriesSplit, 5 folds) para os quatro modelos avaliados. As métricas são apresentadas como média ± desvio padrão entre os folds.</w:t>
      </w:r>
    </w:p>
    <w:p>
      <w:pPr>
        <w:spacing w:after="0" w:before="0"/>
      </w:pPr>
      <w:r>
        <w:rPr>
          <w:sz w:val="40"/>
          <w:szCs w:val="40"/>
        </w:rPr>
        <w:t xml:space="preserve"/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00"/>
        <w:gridCol w:w="1700"/>
        <w:gridCol w:w="1700"/>
        <w:gridCol w:w="1571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Modelo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F1-Score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AUC-ROC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AUC-PR</w:t>
            </w:r>
          </w:p>
        </w:tc>
        <w:tc>
          <w:tcPr>
            <w:tcW w:type="dxa" w:w="15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Recall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76" w:lineRule="auto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Regressão Logística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0,744 ± 0,028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0,914 ± 0,020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0,798 ± 0,021</w:t>
            </w:r>
          </w:p>
        </w:tc>
        <w:tc>
          <w:tcPr>
            <w:tcW w:type="dxa" w:w="15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0,823 ± 0,052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76" w:lineRule="auto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Random Forest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0,778 ± 0,020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0,930 ± 0,023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0,850 ± 0,038</w:t>
            </w:r>
          </w:p>
        </w:tc>
        <w:tc>
          <w:tcPr>
            <w:tcW w:type="dxa" w:w="15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0,845 ± 0,044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76" w:lineRule="auto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XGBoost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0,767 ± 0,029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0,919 ± 0,029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0,834 ± 0,052</w:t>
            </w:r>
          </w:p>
        </w:tc>
        <w:tc>
          <w:tcPr>
            <w:tcW w:type="dxa" w:w="15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0,810 ± 0,055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76" w:lineRule="auto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LightGBM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0,763 ± 0,029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0,915 ± 0,029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0,825 ± 0,047</w:t>
            </w:r>
          </w:p>
        </w:tc>
        <w:tc>
          <w:tcPr>
            <w:tcW w:type="dxa" w:w="15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0,793 ± 0,052</w:t>
            </w:r>
          </w:p>
        </w:tc>
      </w:tr>
    </w:tbl>
    <w:p>
      <w:pPr>
        <w:spacing w:after="0" w:before="0"/>
      </w:pPr>
      <w:r>
        <w:rPr>
          <w:sz w:val="40"/>
          <w:szCs w:val="40"/>
        </w:rPr>
        <w:t xml:space="preserve"/>
      </w:r>
    </w:p>
    <w:p>
      <w:pPr>
        <w:spacing w:after="160" w:before="40" w:line="276" w:lineRule="auto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Tabela 2 — Resultados de cross-validation (TimeSeriesSplit, 5 folds). Linha destacada em verde: melhor modelo. AUC-PR = área sob a curva Precision-Recall.</w:t>
      </w:r>
    </w:p>
    <w:p>
      <w:pPr>
        <w:spacing w:after="120" w:before="120" w:line="276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 modelo Random Forest apresentou o melhor desempenho em todas as métricas. No último fold de validação (julho/2024 a maio/2026), o modelo alcançou AUC-ROC de 0,9531 e AUC-PR de 0,8779. Com o threshold calibrado pelo F2-score (t = 0,47), o modelo detectou 90,4% dos dias com alagamento, com apenas 13 falsos negativos em 135 eventos reais no período de teste.</w:t>
      </w:r>
    </w:p>
    <w:p>
      <w:pPr>
        <w:pStyle w:val="Heading2"/>
        <w:spacing w:after="120" w:before="160" w:line="276" w:lineRule="auto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Calibração do threshold de decisão</w:t>
      </w:r>
    </w:p>
    <w:p>
      <w:pPr>
        <w:spacing w:after="120" w:before="120" w:line="276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Dado o contexto de sistema de alerta, o erro do tipo falso negativo (não alertar quando há alagamento) é considerado mais grave que o falso positivo (falso alarme). Por isso, o threshold ótimo foi calibrado pelo F2-score, que pondera o recall com o dobro do peso da precisão. A Tabela 3 apresenta o comportamento do modelo Random Forest em diferentes pontos de corte.</w:t>
      </w:r>
    </w:p>
    <w:p>
      <w:pPr>
        <w:spacing w:after="0" w:before="0"/>
      </w:pPr>
      <w:r>
        <w:rPr>
          <w:sz w:val="40"/>
          <w:szCs w:val="40"/>
        </w:rPr>
        <w:t xml:space="preserve"/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1200"/>
        <w:gridCol w:w="1200"/>
        <w:gridCol w:w="1200"/>
        <w:gridCol w:w="1871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Threshold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Critério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F1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Recall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Precision</w:t>
            </w:r>
          </w:p>
        </w:tc>
        <w:tc>
          <w:tcPr>
            <w:tcW w:type="dxa" w:w="18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Alertas/dia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0,50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76" w:lineRule="auto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Default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0,761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0,896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0,661</w:t>
            </w:r>
          </w:p>
        </w:tc>
        <w:tc>
          <w:tcPr>
            <w:tcW w:type="dxa" w:w="18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26,4%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0,73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76" w:lineRule="auto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F1 ótimo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0,809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0,785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0,835</w:t>
            </w:r>
          </w:p>
        </w:tc>
        <w:tc>
          <w:tcPr>
            <w:tcW w:type="dxa" w:w="18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18,4%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0,47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76" w:lineRule="auto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F2 ótimo 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0,758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0,904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0,652</w:t>
            </w:r>
          </w:p>
        </w:tc>
        <w:tc>
          <w:tcPr>
            <w:tcW w:type="dxa" w:w="18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27,0%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0,72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76" w:lineRule="auto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Recall ≥ 80%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0,806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0,800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0,812</w:t>
            </w:r>
          </w:p>
        </w:tc>
        <w:tc>
          <w:tcPr>
            <w:tcW w:type="dxa" w:w="18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19,2%</w:t>
            </w:r>
          </w:p>
        </w:tc>
      </w:tr>
    </w:tbl>
    <w:p>
      <w:pPr>
        <w:spacing w:after="0" w:before="0"/>
      </w:pPr>
      <w:r>
        <w:rPr>
          <w:sz w:val="40"/>
          <w:szCs w:val="40"/>
        </w:rPr>
        <w:t xml:space="preserve"/>
      </w:r>
    </w:p>
    <w:p>
      <w:pPr>
        <w:spacing w:after="160" w:before="40" w:line="276" w:lineRule="auto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Tabela 3 — Comportamento do Random Forest em diferentes thresholds de decisão (último fold). ★ threshold recomendado para sistema de alerta.</w:t>
      </w:r>
    </w:p>
    <w:p>
      <w:pPr>
        <w:pStyle w:val="Heading2"/>
        <w:spacing w:after="120" w:before="160" w:line="276" w:lineRule="auto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Contribuição do CEMADEN — Ablation Study</w:t>
      </w:r>
    </w:p>
    <w:p>
      <w:pPr>
        <w:spacing w:after="120" w:before="120" w:line="276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Para isolar a contribuição de cada fonte de dados, foi conduzido um ablation study comparando três configurações de features: somente ERA5, somente CEMADEN e ERA5 + CEMADEN combinados (Tabela 4).</w:t>
      </w:r>
    </w:p>
    <w:p>
      <w:pPr>
        <w:spacing w:after="0" w:before="0"/>
      </w:pPr>
      <w:r>
        <w:rPr>
          <w:sz w:val="40"/>
          <w:szCs w:val="40"/>
        </w:rPr>
        <w:t xml:space="preserve"/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000"/>
        <w:gridCol w:w="2271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Configuração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F1-Score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AUC-PR</w:t>
            </w:r>
          </w:p>
        </w:tc>
        <w:tc>
          <w:tcPr>
            <w:tcW w:type="dxa" w:w="22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Recall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76" w:lineRule="auto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Somente ERA5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0,640 ± 0,031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0,653 ± 0,058</w:t>
            </w:r>
          </w:p>
        </w:tc>
        <w:tc>
          <w:tcPr>
            <w:tcW w:type="dxa" w:w="22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0,795 ± 0,057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76" w:lineRule="auto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Somente CEMADEN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0,778 ± 0,023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0,851 ± 0,033</w:t>
            </w:r>
          </w:p>
        </w:tc>
        <w:tc>
          <w:tcPr>
            <w:tcW w:type="dxa" w:w="22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0,843 ± 0,038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76" w:lineRule="auto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ERA5 + CEMADEN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0,778 ± 0,020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0,850 ± 0,038</w:t>
            </w:r>
          </w:p>
        </w:tc>
        <w:tc>
          <w:tcPr>
            <w:tcW w:type="dxa" w:w="22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0,845 ± 0,044</w:t>
            </w:r>
          </w:p>
        </w:tc>
      </w:tr>
    </w:tbl>
    <w:p>
      <w:pPr>
        <w:spacing w:after="0" w:before="0"/>
      </w:pPr>
      <w:r>
        <w:rPr>
          <w:sz w:val="40"/>
          <w:szCs w:val="40"/>
        </w:rPr>
        <w:t xml:space="preserve"/>
      </w:r>
    </w:p>
    <w:p>
      <w:pPr>
        <w:spacing w:after="160" w:before="40" w:line="276" w:lineRule="auto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Tabela 4 — Ablation study: desempenho do Random Forest por configuração de features (TimeSeriesSplit, 5 folds).</w:t>
      </w:r>
    </w:p>
    <w:p>
      <w:pPr>
        <w:spacing w:after="120" w:before="120" w:line="276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 CEMADEN sozinho superou o ERA5 sozinho em +0,198 de AUC-PR, evidenciando que a rede local de pluviômetros — com 95 estações distribuídas no município — captura informação de precipitação não disponível na reanálise atmosférica de grade grossa (9 km). A combinação das duas fontes não apresentou ganho marginal expressivo, sugerindo que a informação adicional do ERA5 já está parcialmente representada nas features do CEMADEN ou que existe multicolinearidade entre as duas séries.</w:t>
      </w:r>
    </w:p>
    <w:p>
      <w:pPr>
        <w:pStyle w:val="Heading2"/>
        <w:spacing w:after="120" w:before="160" w:line="276" w:lineRule="auto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Importância das features</w:t>
      </w:r>
    </w:p>
    <w:p>
      <w:pPr>
        <w:spacing w:after="120" w:before="120" w:line="276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análise de importância por permutação (Permutation Importance, métrica AUC-PR) identificou as features mais relevantes para o modelo Random Forest:</w:t>
      </w:r>
    </w:p>
    <w:p>
      <w:pPr>
        <w:pStyle w:val="ListParagraph"/>
        <w:numPr>
          <w:ilvl w:val="0"/>
          <w:numId w:val="2"/>
        </w:numPr>
        <w:spacing w:after="40" w:before="40" w:line="276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cemaden_precip_idw_mm: Δ AUC-PR = +0,180 (maior contribuição individual)</w:t>
      </w:r>
    </w:p>
    <w:p>
      <w:pPr>
        <w:pStyle w:val="ListParagraph"/>
        <w:numPr>
          <w:ilvl w:val="0"/>
          <w:numId w:val="2"/>
        </w:numPr>
        <w:spacing w:after="40" w:before="40" w:line="276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cemaden_intensity_max_hor: Δ AUC-PR = +0,073</w:t>
      </w:r>
    </w:p>
    <w:p>
      <w:pPr>
        <w:pStyle w:val="ListParagraph"/>
        <w:numPr>
          <w:ilvl w:val="0"/>
          <w:numId w:val="2"/>
        </w:numPr>
        <w:spacing w:after="40" w:before="40" w:line="276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cemaden_precip_max_mm: Δ AUC-PR = +0,067</w:t>
      </w:r>
    </w:p>
    <w:p>
      <w:pPr>
        <w:pStyle w:val="ListParagraph"/>
        <w:numPr>
          <w:ilvl w:val="0"/>
          <w:numId w:val="2"/>
        </w:numPr>
        <w:spacing w:after="40" w:before="40" w:line="276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cemaden_precip_acc3d: Δ AUC-PR = +0,044</w:t>
      </w:r>
    </w:p>
    <w:p>
      <w:pPr>
        <w:pStyle w:val="ListParagraph"/>
        <w:numPr>
          <w:ilvl w:val="0"/>
          <w:numId w:val="2"/>
        </w:numPr>
        <w:spacing w:after="40" w:before="40" w:line="276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cemaden_precip_median_mm: Δ AUC-PR = +0,021</w:t>
      </w:r>
    </w:p>
    <w:p>
      <w:pPr>
        <w:pStyle w:val="ListParagraph"/>
        <w:numPr>
          <w:ilvl w:val="0"/>
          <w:numId w:val="2"/>
        </w:numPr>
        <w:spacing w:after="40" w:before="40" w:line="276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precipitation_sum (ERA5): Δ AUC-PR = +0,011</w:t>
      </w:r>
    </w:p>
    <w:p>
      <w:pPr>
        <w:spacing w:after="120" w:before="120" w:line="276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predominância de features CEMADEN no ranking confirma o valor da rede local de pluviômetros. A intensidade máxima horária destaca-se como segunda feature mais importante, indicando que eventos convectivos localizados e de curta duração são um fator determinante para a ocorrência de alagamentos, informação que a precipitação diária acumulada não captura adequadamente.</w:t>
      </w:r>
    </w:p>
    <w:p>
      <w:pPr>
        <w:pStyle w:val="Heading1"/>
        <w:spacing w:after="120" w:before="240" w:line="276" w:lineRule="auto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Considerações Finais</w:t>
      </w:r>
    </w:p>
    <w:p>
      <w:pPr>
        <w:spacing w:after="120" w:before="120" w:line="276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Os resultados preliminares confirmam a viabilidade técnica do pipeline proposto para previsão de alagamentos urbanos em São Paulo com base em técnicas de Machine Learning. O modelo Random Forest alcançou desempenho robusto (AUC-PR = 0,850; Recall = 0,845), com estabilidade entre os folds de validação temporal, demonstrando capacidade de generalização para períodos futuros.</w:t>
      </w:r>
    </w:p>
    <w:p>
      <w:pPr>
        <w:spacing w:after="120" w:before="120" w:line="276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principal contribuição metodológica identificada nesta fase é a incorporação dos pluviômetros automáticos do CEMADEN como fonte primária de precipitação local. O ablation study demonstrou que a rede CEMADEN, sozinha, supera em aproximadamente 30% (em AUC-PR) a reanálise ERA5 como fonte de dados meteorológicos para este problema específico, o que justifica o esforço de aquisição e consolidação dos 137 arquivos mensais.</w:t>
      </w:r>
    </w:p>
    <w:p>
      <w:pPr>
        <w:spacing w:after="120" w:before="120" w:line="276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As próximas etapas previstas incluem a otimização de hiperparâmetros via Optuna, a avaliação de modelos sequenciais (LSTM) para capturar dependências temporais de longo prazo, a análise de desempenho desagregada por zona geográfica da cidade, e o refinamento do threshold de decisão para aplicação em um protótipo de sistema de alerta precoce.</w:t>
      </w:r>
    </w:p>
    <w:p>
      <w:pPr>
        <w:pStyle w:val="Heading1"/>
        <w:spacing w:after="120" w:before="240" w:line="276" w:lineRule="auto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Referências</w:t>
      </w:r>
    </w:p>
    <w:p>
      <w:pPr>
        <w:spacing w:after="120" w:before="120" w:line="276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CHEN, T.; GUESTRIN, C. XGBoost: A scalable tree boosting system.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Proceedings of the 22nd ACM SIGKDD International Conference on Knowledge Discovery and Data Mining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 2016.</w:t>
      </w:r>
    </w:p>
    <w:p>
      <w:pPr>
        <w:spacing w:after="120" w:before="120" w:line="276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FAWCETT, T. An introduction to ROC analysis.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Pattern Recognition Letters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 2006.</w:t>
      </w:r>
    </w:p>
    <w:p>
      <w:pPr>
        <w:spacing w:after="120" w:before="120" w:line="276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IPCC.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Climate Change 2021: The Physical Science Basis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 Cambridge University Press, 2021.</w:t>
      </w:r>
    </w:p>
    <w:p>
      <w:pPr>
        <w:spacing w:after="120" w:before="120" w:line="276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KE, Q. et al. Urban pluvial flooding prediction by machine learning approaches.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Environmental Modelling &amp; Software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 2020.</w:t>
      </w:r>
    </w:p>
    <w:p>
      <w:pPr>
        <w:spacing w:after="120" w:before="120" w:line="276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MOSAVI, A.; OZTURK, P.; CHAU, K. W. Flood prediction using machine learning models: literature review.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Water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 2018.</w:t>
      </w:r>
    </w:p>
    <w:p>
      <w:pPr>
        <w:spacing w:after="120" w:before="120" w:line="276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OPEN-METEO. Historical Weather API. Disponível em: https://open-meteo.com/en/docs/historical-weather-api. Acesso em: jun. 2025.</w:t>
      </w:r>
    </w:p>
    <w:p>
      <w:pPr>
        <w:spacing w:after="120" w:before="120" w:line="276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VITERI LÓPEZ, A. S.; MORALES RODRIGUEZ, C. A. Flash flood forecasting in São Paulo using a binary logistic regression model.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Atmosphere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 v. 11, n. 5, 2020.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AAAAA" w:sz="4" w:space="4"/>
      </w:pBdr>
      <w:tabs>
        <w:tab w:val="right" w:pos="9071"/>
      </w:tabs>
      <w:spacing w:before="60"/>
    </w:pPr>
    <w:r>
      <w:rPr>
        <w:rFonts w:ascii="Arial" w:cs="Arial" w:eastAsia="Arial" w:hAnsi="Arial"/>
        <w:b w:val="false"/>
        <w:bCs w:val="false"/>
        <w:i w:val="false"/>
        <w:iCs w:val="false"/>
        <w:color w:val="666666"/>
        <w:sz w:val="20"/>
        <w:szCs w:val="20"/>
      </w:rPr>
      <w:t xml:space="preserve">Henrique Nascimento Santos · TCC MBA Data Science e Analytics · USP/Esalq · 2026</w:t>
    </w:r>
    <w:r>
      <w:rPr>
        <w:sz w:val="20"/>
        <w:szCs w:val="20"/>
      </w:rPr>
      <w:t xml:space="preserve">	</w:t>
    </w:r>
    <w:r>
      <w:rPr>
        <w:color w:val="666666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AAAAA" w:sz="4" w:space="4"/>
      </w:pBdr>
      <w:spacing w:after="60"/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666666"/>
        <w:sz w:val="20"/>
        <w:szCs w:val="20"/>
      </w:rPr>
      <w:t xml:space="preserve">Trabalho de Conclusão de Curso apresentado para obtenção do título de especialista em MBA em Data Science e Analytics –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000000"/>
      <w:sz w:val="22"/>
      <w:szCs w:val="22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color w:val="0000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2026-06-16T03:54:43.922Z</dcterms:created>
  <dcterms:modified xsi:type="dcterms:W3CDTF">2026-06-16T03:54:43.933Z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