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07C9718A" w14:textId="77777777" w:rsidR="001C5E0C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561566D1" w14:textId="77777777" w:rsidR="00F17303" w:rsidRDefault="00F17303">
      <w:pPr>
        <w:spacing w:after="0" w:line="360" w:lineRule="auto"/>
        <w:jc w:val="both"/>
      </w:pP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(X) Material de consumo</w:t>
        <w:br/>
        <w:t xml:space="preserve">( ) Material permanente</w:t>
        <w:br/>
        <w:t xml:space="preserve">( ) Equipamento de TI</w:t>
        <w:br/>
        <w:t xml:space="preserve">( ) Serviço não continuado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**Item: Teclado**</w:t>
        <w:br/>
        <w:t xml:space="preserve"/>
        <w:br/>
        <w:t xml:space="preserve">**Definição**: Equipamento de entrada de dados que permite ao usuário digitar informações em um computador ou dispositivo eletrônico.</w:t>
        <w:br/>
        <w:t xml:space="preserve"/>
        <w:br/>
        <w:t xml:space="preserve">**Características técnicas**:</w:t>
        <w:br/>
        <w:t xml:space="preserve"/>
        <w:br/>
        <w:t xml:space="preserve">* Tipo: Periférico de entrada de dados</w:t>
        <w:br/>
        <w:t xml:space="preserve">* Formato: Teclas alfanuméricas e símbolos, distribuídas em uma área de trabalho definida (tabela de teclado)</w:t>
        <w:br/>
        <w:t xml:space="preserve">* Diferenciação entre caracteres: Utiliza a técnica de "scanner" para detectar o clique das teclas</w:t>
        <w:br/>
        <w:t xml:space="preserve">* Interface: USB (Universal Serial Bus) ou PS/2 (Personal System/2), dependendo do modelo e da plataforma compatível</w:t>
        <w:br/>
        <w:t xml:space="preserve">* Entradas: Alfanuméricas, símbolos e controles (cursor, Enter, etc.)</w:t>
        <w:br/>
        <w:t xml:space="preserve">* Saídas: Nenhuma (somente entrada de dados)</w:t>
        <w:br/>
        <w:t xml:space="preserve"/>
        <w:br/>
        <w:t xml:space="preserve">**Uso no setor RH**: O teclado é fundamental para a realização de tarefas rotineiras e especializadas no setor de recursos humanos (RH), como:</w:t>
        <w:br/>
        <w:t xml:space="preserve"/>
        <w:br/>
        <w:t xml:space="preserve">* Entrada de dados pessoais dos funcionários</w:t>
        <w:br/>
        <w:t xml:space="preserve">* Registro de informações sobre ausências, férias, etc.</w:t>
        <w:br/>
        <w:t xml:space="preserve">* Edição de relatórios e documentos</w:t>
        <w:br/>
        <w:t xml:space="preserve">* Interajamento com sistemas e bases de dados</w:t>
        <w:br/>
        <w:t xml:space="preserve"/>
        <w:br/>
        <w:t xml:space="preserve">**Recomendações**:</w:t>
        <w:br/>
        <w:t xml:space="preserve"/>
        <w:br/>
        <w:t xml:space="preserve">* Utilizar um teclado com uma tabela alfanumérica fácil de ler e um layout ergonômico para evitar problemas de saúde associados ao uso prolongado</w:t>
        <w:br/>
        <w:t xml:space="preserve">* Certificar-se que o teclado esteja configurado corretamente para a plataforma utilizada no RH</w:t>
        <w:br/>
        <w:t xml:space="preserve">* Manter o teclado em bom estado de funcionamento, realizando regularmente verificações e manutenção preventiva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145E9" w:rsidRDefault="003675F6">
      <w:pPr>
        <w:spacing w:after="0" w:line="240" w:lineRule="auto"/>
        <w:jc w:val="both"/>
        <w:rPr>
          <w:bCs/>
          <w:color w:val="000000" w:themeColor="text1"/>
        </w:rPr>
      </w:pPr>
      <w:r w:rsidRPr="004145E9">
        <w:rPr>
          <w:bCs/>
          <w:color w:val="000000" w:themeColor="text1"/>
        </w:rPr>
        <w:t xml:space="preserve">(X) Modalidades da Lei nº 14.133/21</w:t>
        <w:br/>
        <w:t xml:space="preserve">( ) Utilização à ARP - Órgão Participante</w:t>
        <w:br/>
        <w:t xml:space="preserve">( ) Adesão à ARP de outro Órgão</w:t>
        <w:br/>
        <w:t xml:space="preserve">( ) Dispensa/Inexigibilidade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6187074B" w14:textId="77777777" w:rsidR="001C5E0C" w:rsidRDefault="00F9500A">
      <w:pPr>
        <w:spacing w:after="0" w:line="240" w:lineRule="auto"/>
        <w:jc w:val="both"/>
        <w:rPr>
          <w:highlight w:val="white"/>
        </w:rPr>
      </w:pPr>
      <w:r>
        <w:rPr>
          <w:b/>
        </w:rPr>
        <w:t>4 - Necessidade de Estudo Técnico Preliminar e análise de riscos:</w:t>
      </w:r>
    </w:p>
    <w:p w14:paraId="142FB99E" w14:textId="77777777" w:rsidR="001C5E0C" w:rsidRDefault="00F9500A">
      <w:pPr>
        <w:spacing w:after="0" w:line="240" w:lineRule="auto"/>
        <w:jc w:val="both"/>
      </w:pPr>
      <w:proofErr w:type="gramStart"/>
      <w:r>
        <w:t xml:space="preserve">(  </w:t>
      </w:r>
      <w:proofErr w:type="gramEnd"/>
      <w:r>
        <w:t xml:space="preserve"> ) SIM</w:t>
      </w:r>
      <w:r>
        <w:rPr>
          <w:vertAlign w:val="superscript"/>
        </w:rPr>
        <w:t>1</w:t>
      </w:r>
      <w:r>
        <w:t xml:space="preserve">      </w:t>
      </w:r>
      <w:r>
        <w:tab/>
      </w:r>
    </w:p>
    <w:p w14:paraId="05F08F0F" w14:textId="77777777" w:rsidR="001C5E0C" w:rsidRDefault="00F9500A">
      <w:pPr>
        <w:spacing w:after="0" w:line="240" w:lineRule="auto"/>
        <w:jc w:val="both"/>
      </w:pPr>
      <w:proofErr w:type="gramStart"/>
      <w:r>
        <w:t xml:space="preserve">(  </w:t>
      </w:r>
      <w:proofErr w:type="gramEnd"/>
      <w:r>
        <w:t xml:space="preserve"> ) NÃO</w:t>
      </w:r>
      <w:r>
        <w:rPr>
          <w:vertAlign w:val="superscript"/>
        </w:rPr>
        <w:t>2</w:t>
      </w:r>
      <w:r>
        <w:t xml:space="preserve"> </w:t>
      </w:r>
    </w:p>
    <w:p w14:paraId="78ACEFD0" w14:textId="77777777" w:rsidR="001C5E0C" w:rsidRPr="003675F6" w:rsidRDefault="001C5E0C">
      <w:pPr>
        <w:spacing w:after="0" w:line="240" w:lineRule="auto"/>
        <w:jc w:val="both"/>
        <w:rPr>
          <w:u w:val="single"/>
        </w:rPr>
      </w:pPr>
    </w:p>
    <w:p w14:paraId="1D78F5B3" w14:textId="77777777" w:rsidR="001C5E0C" w:rsidRDefault="00F9500A">
      <w:pPr>
        <w:widowControl w:val="0"/>
        <w:spacing w:after="0" w:line="240" w:lineRule="auto"/>
        <w:jc w:val="both"/>
        <w:rPr>
          <w:i/>
          <w:color w:val="FF0000"/>
        </w:rPr>
      </w:pPr>
      <w:r>
        <w:rPr>
          <w:i/>
          <w:color w:val="FF0000"/>
          <w:vertAlign w:val="superscript"/>
        </w:rPr>
        <w:t>1</w:t>
      </w:r>
      <w:r>
        <w:rPr>
          <w:i/>
          <w:color w:val="FF0000"/>
        </w:rPr>
        <w:t>Elaborar o Estudo Técnico Preliminar (ETP) e análise de riscos.  Após a conclusão, abrir o expediente DFD, no SIGA DOC, incluí-los como documento interno produzido, assinar e juntar.</w:t>
      </w:r>
    </w:p>
    <w:p w14:paraId="4476A6AC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i/>
          <w:color w:val="FF0000"/>
          <w:vertAlign w:val="superscript"/>
        </w:rPr>
        <w:t>2</w:t>
      </w:r>
      <w:r>
        <w:rPr>
          <w:i/>
          <w:color w:val="FF0000"/>
        </w:rPr>
        <w:t>Justificar a dispensa do ETP e análise de riscos, conforme dispõe a Lei Federal nº 14.133/2021 e o Decreto Estadual nº 1.525/2022</w:t>
      </w:r>
    </w:p>
    <w:p w14:paraId="16E4FBBD" w14:textId="77777777" w:rsidR="001C5E0C" w:rsidRDefault="00F9500A">
      <w:pPr>
        <w:spacing w:after="0" w:line="240" w:lineRule="auto"/>
        <w:jc w:val="both"/>
      </w:pPr>
      <w:r>
        <w:t xml:space="preserve"> Justificativa: </w:t>
      </w:r>
      <w:r>
        <w:rPr>
          <w:highlight w:val="yellow"/>
        </w:rPr>
        <w:t>XXXXXXXXXXXXXXXXXXXXXX</w:t>
      </w:r>
      <w:r>
        <w:t>.</w:t>
      </w:r>
    </w:p>
    <w:p w14:paraId="699A40AC" w14:textId="77777777" w:rsidR="001C5E0C" w:rsidRDefault="001C5E0C">
      <w:pPr>
        <w:spacing w:after="0" w:line="240" w:lineRule="auto"/>
        <w:jc w:val="both"/>
      </w:pPr>
    </w:p>
    <w:p w14:paraId="5DAFFD78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5 - Os objetos a serem adquiridos/contratados estão previstos no Plano de Contratações Anual?</w:t>
      </w:r>
    </w:p>
    <w:p w14:paraId="439BCF84" w14:textId="77777777" w:rsidR="001C5E0C" w:rsidRDefault="00F9500A">
      <w:pPr>
        <w:widowControl w:val="0"/>
        <w:spacing w:after="0" w:line="240" w:lineRule="auto"/>
        <w:jc w:val="both"/>
        <w:rPr>
          <w:b/>
          <w:vertAlign w:val="superscript"/>
        </w:rPr>
      </w:pP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) </w:t>
      </w:r>
      <w:r>
        <w:t>SIM</w:t>
      </w:r>
      <w:r>
        <w:rPr>
          <w:b/>
          <w:vertAlign w:val="superscript"/>
        </w:rPr>
        <w:t>1</w:t>
      </w:r>
    </w:p>
    <w:p w14:paraId="4B74DC82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proofErr w:type="gramStart"/>
      <w:r>
        <w:t xml:space="preserve">(  </w:t>
      </w:r>
      <w:proofErr w:type="gramEnd"/>
      <w:r>
        <w:t xml:space="preserve"> ) NÃO</w:t>
      </w:r>
      <w:r>
        <w:rPr>
          <w:b/>
          <w:vertAlign w:val="superscript"/>
        </w:rPr>
        <w:t>2</w:t>
      </w:r>
    </w:p>
    <w:p w14:paraId="5D3C5419" w14:textId="77777777" w:rsidR="001C5E0C" w:rsidRDefault="001C5E0C">
      <w:pPr>
        <w:widowControl w:val="0"/>
        <w:spacing w:after="0" w:line="240" w:lineRule="auto"/>
        <w:jc w:val="both"/>
        <w:rPr>
          <w:b/>
        </w:rPr>
      </w:pPr>
    </w:p>
    <w:p w14:paraId="6E7319FF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1</w:t>
      </w:r>
      <w:r>
        <w:rPr>
          <w:color w:val="FF0000"/>
        </w:rPr>
        <w:t>Somente assinalar.</w:t>
      </w:r>
    </w:p>
    <w:p w14:paraId="50B94073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2</w:t>
      </w:r>
      <w:r>
        <w:rPr>
          <w:color w:val="FF0000"/>
        </w:rPr>
        <w:t>Justificar a não previsão do objeto no PCA/2023.</w:t>
      </w:r>
    </w:p>
    <w:p w14:paraId="6DEA5C82" w14:textId="77777777" w:rsidR="001C5E0C" w:rsidRDefault="00F9500A">
      <w:pPr>
        <w:widowControl w:val="0"/>
        <w:spacing w:after="0" w:line="240" w:lineRule="auto"/>
        <w:jc w:val="both"/>
      </w:pPr>
      <w:r>
        <w:t>Justificativa:</w:t>
      </w:r>
      <w:r>
        <w:rPr>
          <w:b/>
        </w:rPr>
        <w:t xml:space="preserve"> </w:t>
      </w:r>
      <w:r>
        <w:rPr>
          <w:highlight w:val="yellow"/>
        </w:rPr>
        <w:t>XXXXXXXXXXXXXXXXXXXXXXX</w:t>
      </w:r>
      <w:r>
        <w:t>.</w:t>
      </w:r>
    </w:p>
    <w:p w14:paraId="52EBD42C" w14:textId="77777777" w:rsidR="001C5E0C" w:rsidRDefault="001C5E0C">
      <w:pPr>
        <w:spacing w:after="0" w:line="360" w:lineRule="auto"/>
        <w:rPr>
          <w:b/>
        </w:rPr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276"/>
        <w:gridCol w:w="1134"/>
        <w:gridCol w:w="3119"/>
        <w:gridCol w:w="2970"/>
      </w:tblGrid>
      <w:tr w:rsidR="001C5E0C" w14:paraId="4B267FBB" w14:textId="77777777" w:rsidTr="00537FB8">
        <w:trPr>
          <w:cantSplit/>
          <w:trHeight w:val="271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7912819F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>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03A01B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2202A6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7CC8827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  <w:tc>
          <w:tcPr>
            <w:tcW w:w="2970" w:type="dxa"/>
          </w:tcPr>
          <w:p w14:paraId="4C8FFE95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MARCA DE REFERÊNCIA E IMAGENS ILUSTRATIVAS </w:t>
            </w:r>
          </w:p>
        </w:tc>
      </w:tr>
      <w:tr w:rsidR="00496388" w:rsidRPr="00496388" w14:paraId="1C5FB3B7" w14:textId="77777777" w:rsidTr="00537FB8">
        <w:trPr>
          <w:trHeight w:val="247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1EFF0E77" w14:textId="29BA5337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DAA36D" w14:textId="75077566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BC6F48" w14:textId="4FC0B804" w:rsidR="00496388" w:rsidRPr="00537FB8" w:rsidRDefault="0049638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F91B019" w14:textId="77777777" w:rsidR="00496388" w:rsidRDefault="00496388" w:rsidP="00496388">
            <w:pPr>
              <w:spacing w:line="360" w:lineRule="auto"/>
              <w:jc w:val="center"/>
              <w:rPr>
                <w:vanish/>
                <w:color w:val="000000"/>
              </w:rPr>
            </w:pPr>
          </w:p>
          <w:p w14:paraId="3F05D919" w14:textId="64B42589" w:rsidR="00496388" w:rsidRDefault="00537FB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  <w:tc>
          <w:tcPr>
            <w:tcW w:w="2970" w:type="dxa"/>
          </w:tcPr>
          <w:p w14:paraId="5E6679E8" w14:textId="35D6DCC5" w:rsidR="00496388" w:rsidRDefault="0049638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proofErr w:type="gramStart"/>
      <w:r>
        <w:rPr>
          <w:b/>
        </w:rPr>
        <w:t>8  -</w:t>
      </w:r>
      <w:proofErr w:type="gramEnd"/>
      <w:r>
        <w:rPr>
          <w:b/>
        </w:rPr>
        <w:t xml:space="preserve">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Objetivo institucional: Atender às necessidades funcionais dos colaboradores, garantindo a eficiência e eficácia nos processos de trabalho, ao fornecer um teclado que atenda às características e especificações requeridas para o desempenho das suas atividades.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proofErr w:type="gramStart"/>
      <w:r>
        <w:rPr>
          <w:b/>
        </w:rPr>
        <w:t>9  -</w:t>
      </w:r>
      <w:proofErr w:type="gramEnd"/>
      <w:r>
        <w:rPr>
          <w:b/>
        </w:rPr>
        <w:t xml:space="preserve">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Aqui vai uma justificativa objetiva e concisa para a aquisição de 2 unidades do item "Teclado" para uso no setor de RH:</w:t>
        <w:br/>
        <w:t xml:space="preserve"/>
        <w:br/>
        <w:t xml:space="preserve">Justificativa:</w:t>
        <w:br/>
        <w:t xml:space="preserve">O setor de Recursos Humanos (RH) é responsável por gerenciar as operações de pessoal, o que envolve a manipulação de grandes volumes de dados e informações sensíveis. A utilização de 2 unidades do item "Teclado" pode melhorar a eficiência e a produtividade dos funcionários do RH, permitindo uma maior agilidade e precisão na realização das tarefas.</w:t>
        <w:br/>
        <w:t xml:space="preserve"/>
        <w:br/>
        <w:t xml:space="preserve">Vantagens:</w:t>
        <w:br/>
        <w:t xml:space="preserve"/>
        <w:br/>
        <w:t xml:space="preserve">* Melhoria da velocidade e eficiência nos processos administrativos;</w:t>
        <w:br/>
        <w:t xml:space="preserve">* Redução de erros e melhor precisione na entrada de dados;</w:t>
        <w:br/>
        <w:t xml:space="preserve">* Maior segurança nos dados e informações sensíveis do setor de RH;</w:t>
        <w:br/>
        <w:t xml:space="preserve">* Suporte à jornada de trabalho remota, caso necessário.</w:t>
        <w:br/>
        <w:t xml:space="preserve"/>
        <w:br/>
        <w:t xml:space="preserve">Valor econômico:</w:t>
        <w:br/>
        <w:t xml:space="preserve">O investimento em 2 unidades do item "Teclado" é razoável e pode gerar um retorno financeiro significativo ao longo prazo, considerando a importância do setor de RH na gestão da empresa.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O DETRAN-MT (Departamento Estadual de Transito e Transportes de Mato Grosso) é uma entidade responsável pela fiscalização, regulação e monitoramento dos transportes no estado de Mato Grosso. O item "Teclado" não está diretamente alinhado ao planejamento estratégico do DETRAN-MT.</w:t>
        <w:br/>
        <w:t xml:space="preserve"/>
        <w:br/>
        <w:t xml:space="preserve">No entanto, o DETRAN-MT pode ter um departamento ou setor responsável pela implementação de tecnologias e sistemas para melhorar a eficiência e segurança nos transportes, como por exemplo, sistemas de monitoramento e controle de trânsito. Nesse sentido, um teclado poderia ser utilizado em sistemas de informática utilizados pelo DETRAN-MT para armazenar e processar dados relacionados ao transporte.</w:t>
        <w:br/>
        <w:t xml:space="preserve"/>
        <w:br/>
        <w:t xml:space="preserve">Além disso, o DETRAN-MT pode ter um planejamento estratégico que inclua a implementação de tecnologias para melhorar a eficiência e segurança nos transportes, como por exemplo, sistema de gerenciamento de trânsito inteligente (SIG), que utiliza sensores e câmeras para monitorar o trânsito e fornecer informações em tempo real aos motoristas.</w:t>
        <w:br/>
        <w:t xml:space="preserve"/>
        <w:br/>
        <w:t xml:space="preserve">Em resumo, o item "Teclado" não está diretamente alinhado ao planejamento estratégico do DETRAN-MT, mas pode ser utilizado como parte de sistemas mais amplos implementados pela entidade para melhorar a eficiência e segurança nos transportes.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01 de July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4C265" w14:textId="77777777" w:rsidR="00BB0715" w:rsidRDefault="00BB0715">
      <w:pPr>
        <w:spacing w:after="0" w:line="240" w:lineRule="auto"/>
      </w:pPr>
      <w:r>
        <w:separator/>
      </w:r>
    </w:p>
  </w:endnote>
  <w:endnote w:type="continuationSeparator" w:id="0">
    <w:p w14:paraId="14163874" w14:textId="77777777" w:rsidR="00BB0715" w:rsidRDefault="00BB0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</w:t>
    </w:r>
    <w:proofErr w:type="gramStart"/>
    <w:r w:rsidRPr="007A251B">
      <w:rPr>
        <w:rFonts w:ascii="Arial" w:hAnsi="Arial" w:cs="Arial"/>
        <w:sz w:val="17"/>
        <w:szCs w:val="17"/>
      </w:rPr>
      <w:t>Página  -</w:t>
    </w:r>
    <w:proofErr w:type="gramEnd"/>
    <w:r w:rsidRPr="007A251B">
      <w:rPr>
        <w:rFonts w:ascii="Arial" w:hAnsi="Arial" w:cs="Arial"/>
        <w:sz w:val="17"/>
        <w:szCs w:val="17"/>
      </w:rPr>
      <w:t xml:space="preserve">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proofErr w:type="gramStart"/>
    <w:r>
      <w:rPr>
        <w:rFonts w:ascii="Arial" w:hAnsi="Arial" w:cs="Arial"/>
        <w:sz w:val="16"/>
        <w:szCs w:val="16"/>
      </w:rPr>
      <w:t>4811  -</w:t>
    </w:r>
    <w:proofErr w:type="gramEnd"/>
    <w:r>
      <w:rPr>
        <w:rFonts w:ascii="Arial" w:hAnsi="Arial" w:cs="Arial"/>
        <w:sz w:val="16"/>
        <w:szCs w:val="16"/>
      </w:rPr>
      <w:t xml:space="preserve">  </w:t>
    </w:r>
    <w:proofErr w:type="gramStart"/>
    <w:r>
      <w:rPr>
        <w:rFonts w:ascii="Arial" w:hAnsi="Arial" w:cs="Arial"/>
        <w:sz w:val="16"/>
        <w:szCs w:val="16"/>
      </w:rPr>
      <w:t>cti@detran.mt.gov.br  -</w:t>
    </w:r>
    <w:proofErr w:type="gramEnd"/>
    <w:r>
      <w:rPr>
        <w:rFonts w:ascii="Arial" w:hAnsi="Arial" w:cs="Arial"/>
        <w:sz w:val="16"/>
        <w:szCs w:val="16"/>
      </w:rPr>
      <w:t xml:space="preserve">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69D05" w14:textId="77777777" w:rsidR="00BB0715" w:rsidRDefault="00BB0715">
      <w:pPr>
        <w:spacing w:after="0" w:line="240" w:lineRule="auto"/>
      </w:pPr>
      <w:r>
        <w:separator/>
      </w:r>
    </w:p>
  </w:footnote>
  <w:footnote w:type="continuationSeparator" w:id="0">
    <w:p w14:paraId="6EA41E30" w14:textId="77777777" w:rsidR="00BB0715" w:rsidRDefault="00BB0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172098"/>
    <w:rsid w:val="001C5E0C"/>
    <w:rsid w:val="003303D0"/>
    <w:rsid w:val="003675F6"/>
    <w:rsid w:val="004145E9"/>
    <w:rsid w:val="00496388"/>
    <w:rsid w:val="0051163A"/>
    <w:rsid w:val="00537FB8"/>
    <w:rsid w:val="00625543"/>
    <w:rsid w:val="00765E87"/>
    <w:rsid w:val="00984203"/>
    <w:rsid w:val="00A06D9D"/>
    <w:rsid w:val="00B3349F"/>
    <w:rsid w:val="00BB0715"/>
    <w:rsid w:val="00C54C18"/>
    <w:rsid w:val="00E05F66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894</Words>
  <Characters>4830</Characters>
  <Application>Microsoft Office Word</Application>
  <DocSecurity>0</DocSecurity>
  <Lines>40</Lines>
  <Paragraphs>11</Paragraphs>
  <ScaleCrop>false</ScaleCrop>
  <Company>HP Inc.</Company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11</cp:revision>
  <dcterms:created xsi:type="dcterms:W3CDTF">2018-05-07T19:06:00Z</dcterms:created>
  <dcterms:modified xsi:type="dcterms:W3CDTF">2025-07-01T17:05:00Z</dcterms:modified>
  <dc:description/>
  <dc:identifier/>
  <dc:language/>
  <dc:subject/>
  <dc:title/>
</cp:coreProperties>
</file>