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</w:t>
        <w:br/>
        <w:t xml:space="preserve">( ) Material permanente</w:t>
        <w:br/>
        <w:t xml:space="preserve">(X) Equipamento de TI</w:t>
        <w:br/>
        <w:t xml:space="preserve">( ) Serviço não continuado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**Item: Teclado**</w:t>
        <w:br/>
        <w:t xml:space="preserve"/>
        <w:br/>
        <w:t xml:space="preserve">**Definição:** Dispositivo de entrada que permite ao usuário digitar informações e executar comandos em um sistema computacional ou dispositivo eletrônico.</w:t>
        <w:br/>
        <w:t xml:space="preserve"/>
        <w:br/>
        <w:t xml:space="preserve">**Características técnicas:**</w:t>
        <w:br/>
        <w:t xml:space="preserve"/>
        <w:br/>
        <w:t xml:space="preserve">* **Tipo:** Teclados podem ser mecânicos, membranosos, capacitivos, ópticos ou inerciais.</w:t>
        <w:br/>
        <w:t xml:space="preserve">* **Layout:** A disposição dos botões (chaves) e a organização das letras, números e símbolos na superfície do teclado.</w:t>
        <w:br/>
        <w:t xml:space="preserve">* **Nível de pressionamento:** O grau de pressão necessário para ativar um botão.</w:t>
        <w:br/>
        <w:t xml:space="preserve">* **Repetição de caracteres:** Função que permite repetir um caractere ou uma sequência de caracteres com facilidade.</w:t>
        <w:br/>
        <w:t xml:space="preserve">* **Fim de linha:** Botão que marca o fim da linha de texto e move a cursor para a próxima linha.</w:t>
        <w:br/>
        <w:t xml:space="preserve">* **Funcionalidades especiais:** Teclados podem incluir botões adicionais para funções específicas, como navegação, volume de áudio ou controle de aplicativos.</w:t>
        <w:br/>
        <w:t xml:space="preserve"/>
        <w:br/>
        <w:t xml:space="preserve">**Uso:** O teclado é conectado ao dispositivo eletrônico e permite ao usuário digitar informações, executar comandos e interagir com o sistema.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145E9" w:rsidRDefault="003675F6">
      <w:pPr>
        <w:spacing w:after="0" w:line="240" w:lineRule="auto"/>
        <w:jc w:val="both"/>
        <w:rPr>
          <w:bCs/>
          <w:color w:val="000000" w:themeColor="text1"/>
        </w:rPr>
      </w:pPr>
      <w:r w:rsidRPr="004145E9">
        <w:rPr>
          <w:bCs/>
          <w:color w:val="000000" w:themeColor="text1"/>
        </w:rPr>
        <w:t xml:space="preserve">( ) Modalidades da Lei nº 14.133/21</w:t>
        <w:br/>
        <w:t xml:space="preserve">(X) Utilização à ARP - Órgão Participante</w:t>
        <w:br/>
        <w:t xml:space="preserve">( ) Adesão à ARP de outro Órgão</w:t>
        <w:br/>
        <w:t xml:space="preserve">( ) Dispensa/Inexigibilidade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r>
        <w:t>(  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r>
        <w:t>(  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r>
        <w:rPr>
          <w:b/>
        </w:rPr>
        <w:t xml:space="preserve">(  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t>(  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Objetivo institucional: Assegurar a eficiência e eficácia nos processos administrativos e operacionais, fornecendo um teclado que atenda às necessidades de trabalho dos funcionários e contribuindo para a melhoria da produtividade e qualidade do desempenho.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Considerando que você está planejando adquirir dois teclados, aqui estão algumas justificativas objetivas:</w:t>
        <w:br/>
        <w:t xml:space="preserve"/>
        <w:br/>
        <w:t xml:space="preserve">1. **Duplicação de funcionalidade**: Com dois teclados, você poderá dividir seu tempo entre diferentes atividades ou tarefas, aumentando sua produtividade e eficiência.</w:t>
        <w:br/>
        <w:t xml:space="preserve">2. **Backup em caso de falha**: Em caso de problemas com um dos teclados, ter outro como backup permitirá que você continue trabalhando normalmente sem interrupções.</w:t>
        <w:br/>
        <w:t xml:space="preserve">3. **Uso compartilhado**: Se você morar ou trabalhar em casa com outras pessoas, dois teclados permitem que diferentes usuários façam uso do equipamento simultaneamente.</w:t>
        <w:br/>
        <w:t xml:space="preserve">4. **Flexibilidade e conveniência**: Com dois teclados, você pode manter um como padrão e outro para uso específico (por exemplo, um para trabalho e outro para lazer).</w:t>
        <w:br/>
        <w:t xml:space="preserve"/>
        <w:br/>
        <w:t xml:space="preserve">Justificativa total: 2 teclados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O Departamento de Trânsito de Mato Grosso (DETRAN-MT) não é uma organização que atua no setor de tecnologia da informação ou hardware, portanto, o item "Teclado" não está diretamente alinhado ao planejamento estratégico do DETRAN-MT.</w:t>
        <w:br/>
        <w:t xml:space="preserve"/>
        <w:br/>
        <w:t xml:space="preserve">O DETRAN-MT tem como objetivo principal a segurança e a regularidade nos transportes rodoviários no estado de Mato Grosso. Sua atuação se concentra em áreas como:</w:t>
        <w:br/>
        <w:t xml:space="preserve"/>
        <w:br/>
        <w:t xml:space="preserve">* Condução de inspeções e testes para verificar a condição dos veículos;</w:t>
        <w:br/>
        <w:t xml:space="preserve">* Licenciamento e registro de veículos;</w:t>
        <w:br/>
        <w:t xml:space="preserve">* Gerenciamento de infraestrutura viária;</w:t>
        <w:br/>
        <w:t xml:space="preserve">* Educação e comunicação para promover a segurança no trânsito.</w:t>
        <w:br/>
        <w:t xml:space="preserve"/>
        <w:br/>
        <w:t xml:space="preserve">Portanto, o item "Teclado" não é relevante ao planejamento estratégico do DETRAN-MT.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04 de July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5D061" w14:textId="77777777" w:rsidR="00143DCD" w:rsidRDefault="00143DCD">
      <w:pPr>
        <w:spacing w:after="0" w:line="240" w:lineRule="auto"/>
      </w:pPr>
      <w:r>
        <w:separator/>
      </w:r>
    </w:p>
  </w:endnote>
  <w:endnote w:type="continuationSeparator" w:id="0">
    <w:p w14:paraId="401A2563" w14:textId="77777777" w:rsidR="00143DCD" w:rsidRDefault="0014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464FE" w14:textId="77777777" w:rsidR="00143DCD" w:rsidRDefault="00143DCD">
      <w:pPr>
        <w:spacing w:after="0" w:line="240" w:lineRule="auto"/>
      </w:pPr>
      <w:r>
        <w:separator/>
      </w:r>
    </w:p>
  </w:footnote>
  <w:footnote w:type="continuationSeparator" w:id="0">
    <w:p w14:paraId="737F7510" w14:textId="77777777" w:rsidR="00143DCD" w:rsidRDefault="0014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96388"/>
    <w:rsid w:val="0051163A"/>
    <w:rsid w:val="00537FB8"/>
    <w:rsid w:val="00625543"/>
    <w:rsid w:val="00765E87"/>
    <w:rsid w:val="008E5B28"/>
    <w:rsid w:val="00984203"/>
    <w:rsid w:val="00A06D9D"/>
    <w:rsid w:val="00B3349F"/>
    <w:rsid w:val="00BB0715"/>
    <w:rsid w:val="00C54C18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894</Words>
  <Characters>4829</Characters>
  <Application>Microsoft Office Word</Application>
  <DocSecurity>0</DocSecurity>
  <Lines>40</Lines>
  <Paragraphs>11</Paragraphs>
  <ScaleCrop>false</ScaleCrop>
  <Company>HP Inc.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12</cp:revision>
  <dcterms:created xsi:type="dcterms:W3CDTF">2018-05-07T19:06:00Z</dcterms:created>
  <dcterms:modified xsi:type="dcterms:W3CDTF">2025-07-01T17:16:00Z</dcterms:modified>
  <dc:description/>
  <dc:identifier/>
  <dc:language/>
  <dc:subject/>
  <dc:title/>
</cp:coreProperties>
</file>