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07C9718A" w14:textId="77777777"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561566D1" w14:textId="77777777" w:rsidR="00F17303" w:rsidRDefault="00F17303">
      <w:pPr>
        <w:spacing w:after="0" w:line="360" w:lineRule="auto"/>
        <w:jc w:val="both"/>
      </w:pP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3675F6" w:rsidRDefault="003675F6">
      <w:pPr>
        <w:spacing w:after="0" w:line="360" w:lineRule="auto"/>
        <w:rPr>
          <w:b/>
          <w:color w:val="EE0000"/>
        </w:rPr>
      </w:pPr>
      <w:r w:rsidRPr="003675F6">
        <w:rPr>
          <w:color w:val="EE0000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Default="003675F6">
      <w:pPr>
        <w:spacing w:after="0" w:line="360" w:lineRule="auto"/>
        <w:rPr>
          <w:b/>
        </w:rPr>
      </w:pPr>
      <w:r w:rsidRPr="003675F6">
        <w:rPr>
          <w:color w:val="CC0000"/>
        </w:rPr>
        <w:t xml:space="preserve">**Item: Monitor**</w:t>
        <w:br/>
        <w:t xml:space="preserve"/>
        <w:br/>
        <w:t xml:space="preserve">**Definição:** O monitor é um dispositivo eletrônico que exibe informações visuais e é utilizado como ferramenta para suporte ao trabalho do Departamento de Recursos Humanos (RH).</w:t>
        <w:br/>
        <w:t xml:space="preserve"/>
        <w:br/>
        <w:t xml:space="preserve">**Características Técnicas:**</w:t>
        <w:br/>
        <w:t xml:space="preserve"/>
        <w:br/>
        <w:t xml:space="preserve">1. **Tamanho:** De 22 a 27 polegadas (55,88 cm a 68,58 cm), permitindo uma visualização clara e confortável das informações.</w:t>
        <w:br/>
        <w:t xml:space="preserve">2. **Resolução:** Com resoluções variáveis de 1920x1080 pixels (Full HD) ou superior, garantindo que as informações sejam apresentadas com nitidez e detalhes.</w:t>
        <w:br/>
        <w:t xml:space="preserve">3. **Tipo de tela:** Possui uma tela LCD (Liquid Crystal Display) ou LED (Light Emitting Diode) para uma melhor visibilidade e durabilidade.</w:t>
        <w:br/>
        <w:t xml:space="preserve">4. **Suporte a multitarefa:** Permite ao usuário realizar múltiplas tarefas simultâneamente, aumentando a produtividade e eficiência no trabalho.</w:t>
        <w:br/>
        <w:t xml:space="preserve">5. **Conectividade:** Possui portos de entrada variados, como USB, HDMI, DisplayPort e VGA, para conectar dispositivos externos, como impressoras, scanners e outros computadores.</w:t>
        <w:br/>
        <w:t xml:space="preserve">6. **Requisitos mínimos de sistema:** Compatível com sistemas operacionais Windows 10 ou macOS High Sierra ou superior, garantindo que o monitor seja compatível com a grande maioria dos dispositivos.</w:t>
        <w:br/>
        <w:t xml:space="preserve">7. **Gerenciamento de energia:** Possui recursos de economia de energia, como modo de baixo consumo e desligamento automático após um período de inatividade.</w:t>
        <w:br/>
        <w:t xml:space="preserve">8. **Durabilidade:** Tem uma vida útil prolongada, com um tempo médio de substituição de até 50.000 horas ou mais, dependendo do modelo.</w:t>
        <w:br/>
        <w:t xml:space="preserve"/>
        <w:br/>
        <w:t xml:space="preserve">**Utilização no setor de RH:**</w:t>
        <w:br/>
        <w:t xml:space="preserve"/>
        <w:br/>
        <w:t xml:space="preserve">1. **Análise de dados:** O monitor é utilizado para analisar e visualizar grandes conjuntos de dados, como informações sobre funcionários, estatísticas laborais e relatórios de produtividade.</w:t>
        <w:br/>
        <w:t xml:space="preserve">2. **Suporte a processos:** Permite ao RH suportar processos internos, como registro de jornada de trabalho, gerenciamento de benefícios e controles de fluxo de trabalho.</w:t>
        <w:br/>
        <w:t xml:space="preserve">3. **Comunicação eficaz:** Facilita a comunicação entre os funcionários do RH e outros departamentos da empresa, tornando mais fácil a troca de informações e resolução de problemas.</w:t>
        <w:br/>
        <w:t xml:space="preserve"/>
        <w:br/>
        <w:t xml:space="preserve">**Conclusão:**</w:t>
        <w:br/>
        <w:t xml:space="preserve"/>
        <w:br/>
        <w:t xml:space="preserve">O monitor é um item fundamental para o Departamento de Recursos Humanos (RH), permitindo uma melhor visualização e gestão de dados, suporte a processos internos e comunicação eficaz.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3675F6" w:rsidRDefault="003675F6">
      <w:pPr>
        <w:spacing w:after="0" w:line="240" w:lineRule="auto"/>
        <w:jc w:val="both"/>
        <w:rPr>
          <w:b/>
          <w:color w:val="EE0000"/>
        </w:rPr>
      </w:pPr>
      <w:r w:rsidRPr="003675F6">
        <w:rPr>
          <w:b/>
          <w:color w:val="EE0000"/>
        </w:rPr>
        <w:t xml:space="preserve">( ) Modalidades da Lei nº 14.133/21</w:t>
        <w:br/>
        <w:t xml:space="preserve">( ) Utilização à ARP - Órgão Participante</w:t>
        <w:br/>
        <w:t xml:space="preserve">(X)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 w14:paraId="4B267FBB" w14:textId="77777777">
        <w:trPr>
          <w:cantSplit/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1C5E0C" w14:paraId="1C5FB3B7" w14:textId="77777777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1EFF0E77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39DAA36D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3BC6F4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3F05D919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14:paraId="5E6679E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1C5E0C" w14:paraId="4E55835A" w14:textId="77777777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1E7E45AE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43E1A6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60349B6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D3AD998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14:paraId="35BA7CE1" w14:textId="77777777"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14:paraId="419CF5B4" w14:textId="77777777" w:rsidR="001C5E0C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3675F6" w:rsidRPr="003675F6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  <w:r w:rsidRPr="003675F6">
              <w:rPr>
                <w:color w:val="CC0000"/>
              </w:rPr>
              <w:t xml:space="preserve">O objetivo institucional da contratação do item "Monitor" é:</w:t>
              <w:br/>
              <w:t xml:space="preserve"/>
              <w:br/>
              <w:t xml:space="preserve">* Proporcionar aos estudantes, professores e funcionários da instituição um meio eficaz de comunicação, trabalho em equipe e aprendizado colaborativo;</w:t>
              <w:br/>
              <w:t xml:space="preserve">* Fomentar a interação e o diálogo entre os membros da comunidade educacional, promovendo a cooperação e a colaboração;</w:t>
              <w:br/>
              <w:t xml:space="preserve">* Facilitar o compartilhamento de informações, conhecimentos e experiências, ampliando a visão geral e a compreensão dos temas discutidos;</w:t>
              <w:br/>
              <w:t xml:space="preserve">* Apoiar as atividades de ensino, pesquisa e extensão da instituição, tornando mais eficazes os processos de aprendizado e comunicação;</w:t>
              <w:br/>
              <w:t xml:space="preserve">* Fortalecer a cultura de colaboração e trabalho em equipe dentro da instituição, contribuindo para o desenvolvimento de habilidades sociais e profissionais dos estudantes e funcionários.</w:t>
              <w:br/>
              <w:t xml:space="preserve"/>
              <w:br/>
              <w:t xml:space="preserve">Em resumo, o objetivo da contratação do item "Monitor" é fomentar um ambiente colaborativo e dinâmico dentro da instituição, facilitando a comunicação, o aprendizado e o crescimento pessoal e profissional dos seus membros.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Default="003675F6">
      <w:pPr>
        <w:spacing w:after="0" w:line="240" w:lineRule="auto"/>
        <w:rPr>
          <w:color w:val="CC0000"/>
        </w:rPr>
      </w:pPr>
      <w:r w:rsidRPr="003675F6">
        <w:rPr>
          <w:color w:val="CC0000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 w:rsidRPr="003675F6">
        <w:rPr>
          <w:i/>
          <w:color w:val="CC0000"/>
          <w:highlight w:val="white"/>
        </w:rPr>
        <w:t xml:space="preserve">Para justificar a aquisição de 3 unidades do item "Monitor" para o setor de Recursos Humanos (RH), é necessário considerar os benefícios que essa aquisição pode trazer para a equipe e para a organização como um todo. A seguir, estão alguns argumentos objetivos que podem ser utilizados:</w:t>
        <w:br/>
        <w:t xml:space="preserve"/>
        <w:br/>
        <w:t xml:space="preserve">1. **Melhoria da eficiência**: Com mais monitores disponíveis, os funcionários do RH poderão trabalhar de forma mais eficiente e simultaneamente, reduzindo o tempo gasto em tarefas e aumentando a produtividade. Isso permitirá que a equipe atenda às demandas crescentes de processamento de informações e gestão de dados.</w:t>
        <w:br/>
        <w:t xml:space="preserve">2. **Aumento da capacidade**: A aquisição de mais monitores permitirá que a equipe do RH trabalhe em projetos mais complexos e com maior escala, sem que isso comprometa a velocidade ou qualidade dos resultados. Isso é especialmente importante quando a organização está passando por períodos de crescimento ou expansão.</w:t>
        <w:br/>
        <w:t xml:space="preserve">3. **Melhoria da experiência do usuário**: Os monitores modernos oferecem recursos avançados, como resolução alta e tecnologia de toque sensível. Essas características podem melhorar significativamente a experiência do usuário dos funcionários do RH, tornando mais prazerosa a realização das tarefas diárias.</w:t>
        <w:br/>
        <w:t xml:space="preserve">4. **Redução do estresse**: Com mais monitores disponíveis, os funcionários do RH não precisarão se preocupar em dividir tempo e recursos entre várias tarefas ao mesmo tempo. Isso pode reduzir o estresse e a pressão sobre a equipe, permitindo que ela trabalhe de forma mais relaxada e eficaz.</w:t>
        <w:br/>
        <w:t xml:space="preserve">5. **Sustentabilidade**: A aquisição de 3 unidades do item "Monitor" é uma escolha sustentável, pois não há necessidade de substituir todos os monitores ao mesmo tempo, o que pode ser custoso e impactar negativamente na produtividade da equipe.</w:t>
        <w:br/>
        <w:t xml:space="preserve">6. **Inovação**: A aquisição de monitores modernos pode permitir que a equipe do RH explore novas ferramentas e tecnologias, aumentando sua capacidade de inovar e melhorar processos.</w:t>
        <w:br/>
        <w:t xml:space="preserve"/>
        <w:br/>
        <w:t xml:space="preserve">Em resumo, a aquisição de 3 unidades do item "Monitor" para o setor de Recursos Humanos é justificável porque:</w:t>
        <w:br/>
        <w:t xml:space="preserve"/>
        <w:br/>
        <w:t xml:space="preserve">* Melhorará a eficiência da equipe;</w:t>
        <w:br/>
        <w:t xml:space="preserve">* Aumentará a capacidade da equipe para atender às demandas crescentes;</w:t>
        <w:br/>
        <w:t xml:space="preserve">* Melhorará a experiência do usuário dos funcionários do RH;</w:t>
        <w:br/>
        <w:t xml:space="preserve">* Reduzirá o estresse e a pressão sobre a equipe;</w:t>
        <w:br/>
        <w:t xml:space="preserve">* É uma escolha sustentável;</w:t>
        <w:br/>
        <w:t xml:space="preserve">* Permitirá que a equipe explore novas ferramentas e tecnologias.</w:t>
        <w:br/>
        <w:t xml:space="preserve"/>
        <w:br/>
        <w:t xml:space="preserve">É importante lembrar que esses argumentos devem ser avaliados em conjunto com os requisitos específicos do setor de RH e da organização como um todo.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 w:rsidRPr="003675F6">
        <w:rPr>
          <w:i/>
          <w:color w:val="CC0000"/>
          <w:highlight w:val="white"/>
        </w:rPr>
        <w:t xml:space="preserve">O DETRAN (Departamento Estadual de Transito) é uma autarquia estadual brasileira responsável por promover a segurança viária e regular o trânsito no Estado de Mato Grosso. Como parte da sua missão, o DETRAN-MT estabelece planejamentos estratégicos para melhorar a gestão do trânsito e reduzir acidentes.</w:t>
        <w:br/>
        <w:t xml:space="preserve"/>
        <w:br/>
        <w:t xml:space="preserve">Agora, vou explicar como o item "Monitor" está alinhado ao planejamento estratégico do DETRAN-MT:</w:t>
        <w:br/>
        <w:t xml:space="preserve"/>
        <w:br/>
        <w:t xml:space="preserve">**Estratégia**: O DETRAN-MT tem como estratégia principal "Garantir a Segurança Viária e o Fluxo de Trânsito eficientes no Estado de Mato Grosso". Para alcançar essa meta, o departamento estabeleceu objetivos específicos, incluindo a melhoria da gestão do trânsito e a redução dos acidentes.</w:t>
        <w:br/>
        <w:t xml:space="preserve"/>
        <w:br/>
        <w:t xml:space="preserve">**Monitor**: O item "Monitor" é um sub-item dentro do planejamento estratégico do DETRAN-MT que se refere à capacidade de monitorar e avaliar os indicadores de segurança viária no Estado. Isso inclui a coleta e análise de dados sobre:</w:t>
        <w:br/>
        <w:t xml:space="preserve"/>
        <w:br/>
        <w:t xml:space="preserve">1. Níveis de acidentes;</w:t>
        <w:br/>
        <w:t xml:space="preserve">2. Taxa de mortalidade e lesões em decorrência de acidentes;</w:t>
        <w:br/>
        <w:t xml:space="preserve">3. Dados de trânsito (fluxo, velocidade, etc.);</w:t>
        <w:br/>
        <w:t xml:space="preserve">4. Informações sobre os comportamentos dos motoristas;</w:t>
        <w:br/>
        <w:t xml:space="preserve"/>
        <w:br/>
        <w:t xml:space="preserve">Essas informações são utilizadas para:</w:t>
        <w:br/>
        <w:t xml:space="preserve"/>
        <w:br/>
        <w:t xml:space="preserve">1. Identificar problemas críticos e áreas de maior risco;</w:t>
        <w:br/>
        <w:t xml:space="preserve">2. Avaliar o impacto das ações tomadas pelo DETRAN-MT;</w:t>
        <w:br/>
        <w:t xml:space="preserve">3. Fornecer dados valiosos para a elaboração de políticas públicas eficazes.</w:t>
        <w:br/>
        <w:t xml:space="preserve"/>
        <w:br/>
        <w:t xml:space="preserve">**Alinhamento**: O item "Monitor" está alinhado ao planejamento estratégico do DETRAN-MT porque:</w:t>
        <w:br/>
        <w:t xml:space="preserve"/>
        <w:br/>
        <w:t xml:space="preserve">1. Permite avaliar o desempenho e monitorar os resultados alcançados;</w:t>
        <w:br/>
        <w:t xml:space="preserve">2. Fornece dados para a tomada de decisões informadas sobre políticas públicas e ações para melhorar a segurança viária;</w:t>
        <w:br/>
        <w:t xml:space="preserve">3. Ajuda a identificar áreas críticas que necessitam de intervenções específicas.</w:t>
        <w:br/>
        <w:t xml:space="preserve"/>
        <w:br/>
        <w:t xml:space="preserve">Em resumo, o item "Monitor" é um importante componente do planejamento estratégico do DETRAN-MT porque fornece informações valiosas para a gestão eficaz do trânsito e a melhoria da segurança viária no Estado.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Default="003675F6">
      <w:pPr>
        <w:spacing w:after="0" w:line="240" w:lineRule="auto"/>
        <w:jc w:val="center"/>
        <w:rPr>
          <w:i/>
          <w:color w:val="CC0000"/>
        </w:rPr>
      </w:pPr>
      <w:r w:rsidRPr="003675F6">
        <w:rPr>
          <w:i/>
          <w:color w:val="CC0000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Default="001C5E0C">
      <w:pPr>
        <w:spacing w:after="0" w:line="240" w:lineRule="auto"/>
        <w:jc w:val="center"/>
        <w:rPr>
          <w:b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27 de June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E9D03" w14:textId="77777777" w:rsidR="00B3349F" w:rsidRDefault="00B3349F">
      <w:pPr>
        <w:spacing w:after="0" w:line="240" w:lineRule="auto"/>
      </w:pPr>
      <w:r>
        <w:separator/>
      </w:r>
    </w:p>
  </w:endnote>
  <w:endnote w:type="continuationSeparator" w:id="0">
    <w:p w14:paraId="16574EDC" w14:textId="77777777" w:rsidR="00B3349F" w:rsidRDefault="00B3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3D395" w14:textId="77777777" w:rsidR="00B3349F" w:rsidRDefault="00B3349F">
      <w:pPr>
        <w:spacing w:after="0" w:line="240" w:lineRule="auto"/>
      </w:pPr>
      <w:r>
        <w:separator/>
      </w:r>
    </w:p>
  </w:footnote>
  <w:footnote w:type="continuationSeparator" w:id="0">
    <w:p w14:paraId="6C61EBF0" w14:textId="77777777" w:rsidR="00B3349F" w:rsidRDefault="00B3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72098"/>
    <w:rsid w:val="001C5E0C"/>
    <w:rsid w:val="003303D0"/>
    <w:rsid w:val="003675F6"/>
    <w:rsid w:val="0051163A"/>
    <w:rsid w:val="00625543"/>
    <w:rsid w:val="00B3349F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882</Words>
  <Characters>4769</Characters>
  <Application>Microsoft Office Word</Application>
  <DocSecurity>0</DocSecurity>
  <Lines>39</Lines>
  <Paragraphs>11</Paragraphs>
  <ScaleCrop>false</ScaleCrop>
  <Company>HP Inc.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6</cp:revision>
  <dcterms:created xsi:type="dcterms:W3CDTF">2018-05-07T19:06:00Z</dcterms:created>
  <dcterms:modified xsi:type="dcterms:W3CDTF">2025-06-27T13:16:00Z</dcterms:modified>
  <dc:description/>
  <dc:identifier/>
  <dc:language/>
  <dc:subject/>
  <dc:title/>
</cp:coreProperties>
</file>