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485D8A" w14:textId="77777777" w:rsidR="005D622A" w:rsidRDefault="005D622A">
      <w:pPr>
        <w:pBdr>
          <w:top w:val="nil"/>
          <w:left w:val="nil"/>
          <w:bottom w:val="nil"/>
          <w:right w:val="nil"/>
          <w:between w:val="nil"/>
        </w:pBdr>
        <w:spacing w:line="276" w:lineRule="auto"/>
        <w:rPr>
          <w:rFonts w:ascii="Arial" w:eastAsia="Arial" w:hAnsi="Arial" w:cs="Arial"/>
          <w:color w:val="000000"/>
          <w:sz w:val="22"/>
          <w:szCs w:val="22"/>
        </w:rPr>
      </w:pPr>
    </w:p>
    <w:tbl>
      <w:tblPr>
        <w:tblStyle w:val="a"/>
        <w:tblW w:w="998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4"/>
        <w:gridCol w:w="1426"/>
        <w:gridCol w:w="1279"/>
        <w:gridCol w:w="147"/>
        <w:gridCol w:w="753"/>
        <w:gridCol w:w="673"/>
        <w:gridCol w:w="744"/>
        <w:gridCol w:w="682"/>
        <w:gridCol w:w="1288"/>
        <w:gridCol w:w="138"/>
        <w:gridCol w:w="1426"/>
      </w:tblGrid>
      <w:tr w:rsidR="005D622A" w14:paraId="388ECF8F" w14:textId="77777777" w:rsidTr="00E40EE0">
        <w:trPr>
          <w:trHeight w:val="325"/>
        </w:trPr>
        <w:tc>
          <w:tcPr>
            <w:tcW w:w="9980" w:type="dxa"/>
            <w:gridSpan w:val="11"/>
            <w:vAlign w:val="center"/>
          </w:tcPr>
          <w:p w14:paraId="7C392D61" w14:textId="78582223" w:rsidR="005D622A" w:rsidRPr="00E40EE0" w:rsidRDefault="00C55F56" w:rsidP="00E40EE0">
            <w:pPr>
              <w:spacing w:before="120" w:after="120"/>
              <w:jc w:val="center"/>
              <w:rPr>
                <w:rFonts w:ascii="Calibri" w:eastAsia="Calibri" w:hAnsi="Calibri" w:cs="Calibri"/>
                <w:sz w:val="32"/>
                <w:szCs w:val="32"/>
                <w:highlight w:val="yellow"/>
              </w:rPr>
            </w:pPr>
            <w:r w:rsidRPr="00E40EE0">
              <w:rPr>
                <w:rFonts w:ascii="Calibri" w:eastAsia="Calibri" w:hAnsi="Calibri" w:cs="Calibri"/>
                <w:b/>
                <w:sz w:val="32"/>
                <w:szCs w:val="32"/>
              </w:rPr>
              <w:t xml:space="preserve">ESTUDO TÉCNICO PRELIMINAR Nº </w:t>
            </w:r>
            <w:r w:rsidR="0033074C" w:rsidRPr="0033074C">
              <w:rPr>
                <w:rFonts w:ascii="Calibri" w:eastAsia="Calibri" w:hAnsi="Calibri" w:cs="Calibri"/>
                <w:b/>
                <w:color w:val="EE0000"/>
                <w:sz w:val="32"/>
                <w:szCs w:val="32"/>
              </w:rPr>
              <w:t xml:space="preserve">003/2025</w:t>
            </w:r>
          </w:p>
        </w:tc>
      </w:tr>
      <w:tr w:rsidR="005D622A" w14:paraId="65AEF32A" w14:textId="77777777" w:rsidTr="00E40EE0">
        <w:trPr>
          <w:trHeight w:val="54"/>
        </w:trPr>
        <w:tc>
          <w:tcPr>
            <w:tcW w:w="9980" w:type="dxa"/>
            <w:gridSpan w:val="11"/>
          </w:tcPr>
          <w:p w14:paraId="59BD7B63"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ÁREA REQUISITANTE</w:t>
            </w:r>
          </w:p>
          <w:p w14:paraId="302A669A" w14:textId="680B9B41" w:rsidR="00E40EE0" w:rsidRDefault="0033074C">
            <w:pPr>
              <w:jc w:val="both"/>
              <w:rPr>
                <w:rFonts w:ascii="Calibri" w:eastAsia="Calibri" w:hAnsi="Calibri" w:cs="Calibri"/>
                <w:b/>
                <w:sz w:val="22"/>
                <w:szCs w:val="22"/>
              </w:rPr>
            </w:pPr>
            <w:r w:rsidRPr="0033074C">
              <w:rPr>
                <w:rFonts w:ascii="Calibri" w:eastAsia="Calibri" w:hAnsi="Calibri" w:cs="Calibri"/>
                <w:b/>
                <w:color w:val="EE0000"/>
                <w:sz w:val="22"/>
                <w:szCs w:val="22"/>
              </w:rPr>
              <w:t xml:space="preserve">COORDENADORIA DE TECNOLOGIA DA INFORMAÇÃO</w:t>
            </w:r>
          </w:p>
        </w:tc>
      </w:tr>
      <w:tr w:rsidR="005D622A" w14:paraId="7EB02734" w14:textId="77777777" w:rsidTr="00E40EE0">
        <w:trPr>
          <w:trHeight w:val="54"/>
        </w:trPr>
        <w:tc>
          <w:tcPr>
            <w:tcW w:w="5029" w:type="dxa"/>
            <w:gridSpan w:val="5"/>
            <w:shd w:val="clear" w:color="auto" w:fill="BFBFBF"/>
          </w:tcPr>
          <w:p w14:paraId="03B38E91"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ÁREA REQUISITANTE</w:t>
            </w:r>
          </w:p>
        </w:tc>
        <w:tc>
          <w:tcPr>
            <w:tcW w:w="4951" w:type="dxa"/>
            <w:gridSpan w:val="6"/>
            <w:shd w:val="clear" w:color="auto" w:fill="BFBFBF"/>
          </w:tcPr>
          <w:p w14:paraId="1A71114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RESPONSÁVEL</w:t>
            </w:r>
          </w:p>
        </w:tc>
      </w:tr>
      <w:tr w:rsidR="005D622A" w14:paraId="0E732DBE" w14:textId="77777777" w:rsidTr="00E40EE0">
        <w:trPr>
          <w:trHeight w:val="54"/>
        </w:trPr>
        <w:tc>
          <w:tcPr>
            <w:tcW w:w="5029" w:type="dxa"/>
            <w:gridSpan w:val="5"/>
          </w:tcPr>
          <w:p w14:paraId="26F09BD9" w14:textId="546AADA4" w:rsidR="00E40EE0" w:rsidRDefault="0033074C">
            <w:pPr>
              <w:jc w:val="both"/>
              <w:rPr>
                <w:rFonts w:ascii="Calibri" w:eastAsia="Calibri" w:hAnsi="Calibri" w:cs="Calibri"/>
                <w:sz w:val="22"/>
                <w:szCs w:val="22"/>
              </w:rPr>
            </w:pPr>
            <w:r w:rsidRPr="0033074C">
              <w:rPr>
                <w:rFonts w:ascii="Calibri" w:eastAsia="Calibri" w:hAnsi="Calibri" w:cs="Calibri"/>
                <w:color w:val="EE0000"/>
                <w:sz w:val="22"/>
                <w:szCs w:val="22"/>
              </w:rPr>
              <w:t xml:space="preserve">COORDENADORIA DE TECNOLOGIA DA INFORMAÇÃO</w:t>
            </w:r>
          </w:p>
        </w:tc>
        <w:tc>
          <w:tcPr>
            <w:tcW w:w="4951" w:type="dxa"/>
            <w:gridSpan w:val="6"/>
          </w:tcPr>
          <w:p w14:paraId="77979D1C" w14:textId="2E99C59B" w:rsidR="005D622A" w:rsidRDefault="0033074C">
            <w:pPr>
              <w:jc w:val="both"/>
              <w:rPr>
                <w:rFonts w:ascii="Calibri" w:eastAsia="Calibri" w:hAnsi="Calibri" w:cs="Calibri"/>
                <w:sz w:val="22"/>
                <w:szCs w:val="22"/>
              </w:rPr>
            </w:pPr>
            <w:r w:rsidRPr="0033074C">
              <w:rPr>
                <w:rFonts w:ascii="Calibri" w:eastAsia="Calibri" w:hAnsi="Calibri" w:cs="Calibri"/>
                <w:color w:val="EE0000"/>
                <w:sz w:val="22"/>
                <w:szCs w:val="22"/>
              </w:rPr>
              <w:t xml:space="preserve">Danilo Vieira da Cruz</w:t>
            </w:r>
          </w:p>
        </w:tc>
      </w:tr>
      <w:tr w:rsidR="005D622A" w14:paraId="46A67C6E" w14:textId="77777777" w:rsidTr="00E40EE0">
        <w:tc>
          <w:tcPr>
            <w:tcW w:w="9980" w:type="dxa"/>
            <w:gridSpan w:val="11"/>
          </w:tcPr>
          <w:p w14:paraId="73AE7B28"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INTRODUÇÃO</w:t>
            </w:r>
          </w:p>
          <w:p w14:paraId="07B7A306" w14:textId="77777777" w:rsidR="005D622A" w:rsidRDefault="00C55F56">
            <w:pPr>
              <w:numPr>
                <w:ilvl w:val="1"/>
                <w:numId w:val="1"/>
              </w:numPr>
              <w:ind w:left="0" w:firstLine="0"/>
              <w:jc w:val="both"/>
              <w:rPr>
                <w:rFonts w:ascii="Calibri" w:eastAsia="Calibri" w:hAnsi="Calibri" w:cs="Calibri"/>
                <w:sz w:val="22"/>
                <w:szCs w:val="22"/>
              </w:rPr>
            </w:pPr>
            <w:r w:rsidRPr="000570FE">
              <w:rPr>
                <w:rFonts w:ascii="Calibri" w:eastAsia="Calibri" w:hAnsi="Calibri" w:cs="Calibri"/>
                <w:sz w:val="22"/>
                <w:szCs w:val="22"/>
              </w:rPr>
              <w:t>O Estudo Técnico Preliminar (ETP) dará início a fase preparatória para a contratação de empresa para aquisição de materiais de consumo (itens</w:t>
            </w:r>
            <w:r w:rsidR="000570FE">
              <w:rPr>
                <w:rFonts w:ascii="Calibri" w:eastAsia="Calibri" w:hAnsi="Calibri" w:cs="Calibri"/>
                <w:sz w:val="22"/>
                <w:szCs w:val="22"/>
              </w:rPr>
              <w:t xml:space="preserve"> de informática</w:t>
            </w:r>
            <w:r w:rsidRPr="000570FE">
              <w:rPr>
                <w:rFonts w:ascii="Calibri" w:eastAsia="Calibri" w:hAnsi="Calibri" w:cs="Calibri"/>
                <w:sz w:val="22"/>
                <w:szCs w:val="22"/>
              </w:rPr>
              <w:t xml:space="preserve">) </w:t>
            </w:r>
            <w:r>
              <w:rPr>
                <w:rFonts w:ascii="Calibri" w:eastAsia="Calibri" w:hAnsi="Calibri" w:cs="Calibri"/>
                <w:sz w:val="22"/>
                <w:szCs w:val="22"/>
              </w:rPr>
              <w:t>para atender às demandas do Departamento Estadual de Trânsito de Mato Grosso;</w:t>
            </w:r>
          </w:p>
          <w:p w14:paraId="2AF5C977"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Compreende-se que este documento constituirá a primeira fase do planejamento da contratação, que retratará o interesse público envolvido e a sua melhor solução, servirá de base para o anteprojeto, termo de referência ou ao projeto básico a serem elaborados caso se reconheça pela viabilidade da contratação;</w:t>
            </w:r>
          </w:p>
          <w:p w14:paraId="323E9B1F"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Evidenciará o problema a ser resolvido e a sua melhor solução, de modo a permitir a avaliação da viabilidade técnica e econômica da contração;</w:t>
            </w:r>
          </w:p>
          <w:p w14:paraId="26D1B347"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O Estudo que antecede a aquisição pretendida, em sua fase preparatória, estará pautado nas deliberações legais regulatórias, em âmbito Nacional e Estadual, inclusive no que diz respeito a Lei Federal de Licitações e Contratos Administrativos nº 14.133, de 1º de abril de 2021. No artigo 18, §2º, desta Lei, diz: “o estudo técnico preliminar deverá conter ao menos os elementos previstos nos incisos I, IV, VI, VIII e XIII do §1º deste artigo e, quando não contemplar os demais elementos previstos no referido parágrafo, apresentar as devidas justificativas;</w:t>
            </w:r>
          </w:p>
          <w:p w14:paraId="55D77B6A" w14:textId="77777777" w:rsidR="005D622A" w:rsidRDefault="00C55F56" w:rsidP="000570FE">
            <w:pPr>
              <w:numPr>
                <w:ilvl w:val="1"/>
                <w:numId w:val="1"/>
              </w:numPr>
              <w:spacing w:after="120"/>
              <w:ind w:left="0" w:firstLine="0"/>
              <w:jc w:val="both"/>
              <w:rPr>
                <w:rFonts w:ascii="Calibri" w:eastAsia="Calibri" w:hAnsi="Calibri" w:cs="Calibri"/>
                <w:sz w:val="22"/>
                <w:szCs w:val="22"/>
              </w:rPr>
            </w:pPr>
            <w:r>
              <w:rPr>
                <w:rFonts w:ascii="Calibri" w:eastAsia="Calibri" w:hAnsi="Calibri" w:cs="Calibri"/>
                <w:sz w:val="22"/>
                <w:szCs w:val="22"/>
              </w:rPr>
              <w:t>No âmbito estadual, a Nova Lei de Licitações e Contratos é regulamentada pelo Decreto Estadual nº 1.525/2022;</w:t>
            </w:r>
          </w:p>
        </w:tc>
      </w:tr>
      <w:tr w:rsidR="005D622A" w14:paraId="751AB2F5" w14:textId="77777777" w:rsidTr="00E40EE0">
        <w:tc>
          <w:tcPr>
            <w:tcW w:w="9980" w:type="dxa"/>
            <w:gridSpan w:val="11"/>
          </w:tcPr>
          <w:p w14:paraId="7C006984" w14:textId="77777777" w:rsidR="005D622A" w:rsidRDefault="00C55F56" w:rsidP="00AA2652">
            <w:pPr>
              <w:numPr>
                <w:ilvl w:val="0"/>
                <w:numId w:val="1"/>
              </w:numPr>
              <w:shd w:val="clear" w:color="auto" w:fill="D9D9D9"/>
              <w:tabs>
                <w:tab w:val="left" w:pos="438"/>
              </w:tabs>
              <w:ind w:right="57"/>
              <w:jc w:val="both"/>
              <w:rPr>
                <w:rFonts w:ascii="Calibri" w:eastAsia="Calibri" w:hAnsi="Calibri" w:cs="Calibri"/>
                <w:b/>
                <w:sz w:val="22"/>
                <w:szCs w:val="22"/>
              </w:rPr>
            </w:pPr>
            <w:r>
              <w:rPr>
                <w:rFonts w:ascii="Calibri" w:eastAsia="Calibri" w:hAnsi="Calibri" w:cs="Calibri"/>
                <w:b/>
                <w:sz w:val="22"/>
                <w:szCs w:val="22"/>
              </w:rPr>
              <w:t>DESCRIÇÃO DA NECESSIDADE DA CONTRATAÇÃO, CONSIDERANDO O PROBLEMA A SER RESOLVIDO SOB A PERSPECTIVA DO INTERESSE PÚBLICO (art. 35, inciso I do D1525/2022)</w:t>
            </w:r>
          </w:p>
          <w:p w14:paraId="3740E723" w14:textId="77777777" w:rsidR="005D622A" w:rsidRPr="00AA2652" w:rsidRDefault="00AA2652" w:rsidP="00AA2652">
            <w:pPr>
              <w:widowControl/>
              <w:spacing w:before="100" w:beforeAutospacing="1" w:after="100" w:afterAutospacing="1"/>
              <w:rPr>
                <w:rFonts w:ascii="Courier New" w:hAnsi="Courier New" w:cs="Courier New"/>
                <w:color w:val="EE0000"/>
                <w:sz w:val="20"/>
                <w:szCs w:val="20"/>
              </w:rPr>
            </w:pPr>
            <w:r w:rsidRPr="00AA2652">
              <w:rPr>
                <w:rFonts w:ascii="Courier New" w:hAnsi="Courier New" w:cs="Courier New"/>
                <w:color w:val="EE0000"/>
                <w:sz w:val="20"/>
                <w:szCs w:val="20"/>
              </w:rPr>
              <w:t xml:space="preserve">**Descrição da Necessidade da Contratação**</w:t>
              <w:br/>
              <w:t xml:space="preserve"/>
              <w:br/>
              <w:t xml:space="preserve">O Departamento Estadual de Trânsito de Mato Grosso (DETRAN-MT) está enfrentando uma situação crítica na manutenção dos seus equipamentos e sistemas de informática, os quais são fundamentais para o exercício das suas atribuições. A necessidade de aquisição de materiais de consumo (itens de informática) surge como uma resposta à crescente demanda por tecnologia e inovação no setor de trânsito.</w:t>
              <w:br/>
              <w:t xml:space="preserve"/>
              <w:br/>
              <w:t xml:space="preserve">A falta de atualização dos equipamentos e sistemas de informática do DETRAN-MT compromete a eficiência e eficácia das suas atividades, levando a problemas como:</w:t>
              <w:br/>
              <w:t xml:space="preserve"/>
              <w:br/>
              <w:t xml:space="preserve">* Atrasos na processamento de dados;</w:t>
              <w:br/>
              <w:t xml:space="preserve">* Falta de segurança nos sistemas;</w:t>
              <w:br/>
              <w:t xml:space="preserve">* Limitações na capacidade de resposta às demandas dos usuários;</w:t>
              <w:br/>
              <w:t xml:space="preserve">* Incapacidade de implementar soluções inovadoras para melhorar a gestão do trânsito.</w:t>
              <w:br/>
              <w:t xml:space="preserve"/>
              <w:br/>
              <w:t xml:space="preserve">A contratação da presente compra pública visa atender às necessidades específicas do DETRAN-MT, garantindo a manutenção e o desenvolvimento dos seus sistemas de informática. A aquisição de materiais de consumo (itens de informática) é fundamental para:</w:t>
              <w:br/>
              <w:t xml:space="preserve"/>
              <w:br/>
              <w:t xml:space="preserve">* Manter os equipamentos e sistemas atualizados e seguros;</w:t>
              <w:br/>
              <w:t xml:space="preserve">* Garantir a eficiência e eficácia das atividades do DETRAN-MT;</w:t>
              <w:br/>
              <w:t xml:space="preserve">* Proporcionar melhorias na gestão do trânsito, reduzindo o tempo de resposta e aumentando a capacidade de processamento de dados.</w:t>
              <w:br/>
              <w:t xml:space="preserve"/>
              <w:br/>
              <w:t xml:space="preserve">Além disso, a contratação da presente compra pública contribuirá para o interesse público, pois:</w:t>
              <w:br/>
              <w:t xml:space="preserve"/>
              <w:br/>
              <w:t xml:space="preserve">* Garantirá a segurança e a privacidade dos dados dos usuários;</w:t>
              <w:br/>
              <w:t xml:space="preserve">* Proporcionará melhorias na gestão do trânsito, reduzindo os riscos de acidentes e melhorando a mobilidade urbana;</w:t>
              <w:br/>
              <w:t xml:space="preserve">* Fomentará a inovação e o desenvolvimento tecnológico no setor de trânsito.</w:t>
              <w:br/>
              <w:t xml:space="preserve"/>
              <w:br/>
              <w:t xml:space="preserve">Em resumo, a contratação da presente compra pública é fundamental para atender às necessidades específicas do DETRAN-MT e contribuir para o interesse público.</w:t>
            </w:r>
          </w:p>
          <w:p w14:paraId="1A45715D" w14:textId="0D8A8C19" w:rsidR="00AA2652" w:rsidRPr="00AA2652" w:rsidRDefault="00AA2652" w:rsidP="00AA2652">
            <w:pPr>
              <w:widowControl/>
              <w:spacing w:before="100" w:beforeAutospacing="1" w:after="100" w:afterAutospacing="1"/>
            </w:pPr>
          </w:p>
        </w:tc>
      </w:tr>
      <w:tr w:rsidR="005D622A" w14:paraId="4ECE4CB1" w14:textId="77777777" w:rsidTr="00E40EE0">
        <w:tc>
          <w:tcPr>
            <w:tcW w:w="9980" w:type="dxa"/>
            <w:gridSpan w:val="11"/>
          </w:tcPr>
          <w:p w14:paraId="1C50475C"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DEMONSTRAÇÃO DA PREVISÃO DA CONTRATAÇÃO NO PLANO DE CONTRATAÇÕES ANUAL, SEMPRE QUE ELABORADO, OU DESDE QUE JUSTIFICADA A IMPOSSIBILIDADE, DE MODO A INDICAR O SEU ALINHAMENTO COM OS INSTRUMENTOS DE PLANEJAMENTO DO ÓRGÃO OU ENTIDADE (art. 35, inciso II do D1525/2022)</w:t>
            </w:r>
          </w:p>
        </w:tc>
      </w:tr>
      <w:tr w:rsidR="005D622A" w14:paraId="35144777" w14:textId="77777777" w:rsidTr="00E40EE0">
        <w:trPr>
          <w:trHeight w:val="217"/>
        </w:trPr>
        <w:tc>
          <w:tcPr>
            <w:tcW w:w="9980" w:type="dxa"/>
            <w:gridSpan w:val="11"/>
            <w:tcMar>
              <w:top w:w="55" w:type="dxa"/>
              <w:left w:w="55" w:type="dxa"/>
              <w:bottom w:w="55" w:type="dxa"/>
              <w:right w:w="55" w:type="dxa"/>
            </w:tcMar>
          </w:tcPr>
          <w:p w14:paraId="5B610BF3" w14:textId="77777777" w:rsidR="005D622A" w:rsidRDefault="00C55F56">
            <w:pPr>
              <w:numPr>
                <w:ilvl w:val="1"/>
                <w:numId w:val="1"/>
              </w:numPr>
              <w:ind w:left="0" w:firstLine="0"/>
              <w:jc w:val="both"/>
              <w:rPr>
                <w:rFonts w:ascii="Calibri" w:eastAsia="Calibri" w:hAnsi="Calibri" w:cs="Calibri"/>
                <w:color w:val="000000"/>
                <w:sz w:val="22"/>
                <w:szCs w:val="22"/>
              </w:rPr>
            </w:pPr>
            <w:r>
              <w:rPr>
                <w:rFonts w:ascii="Calibri" w:eastAsia="Calibri" w:hAnsi="Calibri" w:cs="Calibri"/>
                <w:color w:val="FF0000"/>
                <w:sz w:val="22"/>
                <w:szCs w:val="22"/>
              </w:rPr>
              <w:t>Demonstração da previsão da contratação no plano de contrações anual, sempre que elaborado, de modo a indicar o seu alinhamento com o planejamento da Administração.</w:t>
            </w:r>
          </w:p>
        </w:tc>
      </w:tr>
      <w:tr w:rsidR="005D622A" w14:paraId="05F7485B" w14:textId="77777777" w:rsidTr="00AA2652">
        <w:trPr>
          <w:trHeight w:val="122"/>
        </w:trPr>
        <w:tc>
          <w:tcPr>
            <w:tcW w:w="4129" w:type="dxa"/>
            <w:gridSpan w:val="3"/>
            <w:tcMar>
              <w:top w:w="55" w:type="dxa"/>
              <w:left w:w="55" w:type="dxa"/>
              <w:bottom w:w="55" w:type="dxa"/>
              <w:right w:w="55" w:type="dxa"/>
            </w:tcMar>
          </w:tcPr>
          <w:p w14:paraId="66066011"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Sub ação: </w:t>
            </w:r>
          </w:p>
        </w:tc>
        <w:tc>
          <w:tcPr>
            <w:tcW w:w="2317" w:type="dxa"/>
            <w:gridSpan w:val="4"/>
            <w:tcMar>
              <w:top w:w="55" w:type="dxa"/>
              <w:left w:w="55" w:type="dxa"/>
              <w:bottom w:w="55" w:type="dxa"/>
              <w:right w:w="55" w:type="dxa"/>
            </w:tcMar>
          </w:tcPr>
          <w:p w14:paraId="1DA06317" w14:textId="4C8A753A"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r w:rsidRPr="00AA2652">
              <w:rPr>
                <w:rFonts w:ascii="Calibri" w:eastAsia="Calibri" w:hAnsi="Calibri" w:cs="Calibri"/>
                <w:color w:val="FF0000"/>
                <w:sz w:val="20"/>
                <w:szCs w:val="20"/>
              </w:rPr>
              <w:t xml:space="preserve">01</w:t>
            </w:r>
          </w:p>
        </w:tc>
        <w:tc>
          <w:tcPr>
            <w:tcW w:w="1970" w:type="dxa"/>
            <w:gridSpan w:val="2"/>
            <w:tcMar>
              <w:top w:w="55" w:type="dxa"/>
              <w:left w:w="55" w:type="dxa"/>
              <w:bottom w:w="55" w:type="dxa"/>
              <w:right w:w="55" w:type="dxa"/>
            </w:tcMar>
          </w:tcPr>
          <w:p w14:paraId="2D0626F3"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Etapa:</w:t>
            </w:r>
          </w:p>
        </w:tc>
        <w:tc>
          <w:tcPr>
            <w:tcW w:w="1564" w:type="dxa"/>
            <w:gridSpan w:val="2"/>
            <w:tcMar>
              <w:top w:w="55" w:type="dxa"/>
              <w:left w:w="55" w:type="dxa"/>
              <w:bottom w:w="55" w:type="dxa"/>
              <w:right w:w="55" w:type="dxa"/>
            </w:tcMar>
          </w:tcPr>
          <w:p w14:paraId="6010F797" w14:textId="7CC821AD"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r w:rsidRPr="00AA2652">
              <w:rPr>
                <w:rFonts w:ascii="Calibri" w:eastAsia="Calibri" w:hAnsi="Calibri" w:cs="Calibri"/>
                <w:color w:val="FF0000"/>
                <w:sz w:val="20"/>
                <w:szCs w:val="20"/>
              </w:rPr>
              <w:t xml:space="preserve">05</w:t>
            </w:r>
          </w:p>
        </w:tc>
      </w:tr>
      <w:tr w:rsidR="005D622A" w14:paraId="67A74A47" w14:textId="77777777" w:rsidTr="00AA2652">
        <w:trPr>
          <w:trHeight w:val="43"/>
        </w:trPr>
        <w:tc>
          <w:tcPr>
            <w:tcW w:w="4129" w:type="dxa"/>
            <w:gridSpan w:val="3"/>
            <w:tcMar>
              <w:top w:w="55" w:type="dxa"/>
              <w:left w:w="55" w:type="dxa"/>
              <w:bottom w:w="55" w:type="dxa"/>
              <w:right w:w="55" w:type="dxa"/>
            </w:tcMar>
          </w:tcPr>
          <w:p w14:paraId="7A9F7F21"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Natureza da Despesa:</w:t>
            </w:r>
          </w:p>
        </w:tc>
        <w:tc>
          <w:tcPr>
            <w:tcW w:w="2317" w:type="dxa"/>
            <w:gridSpan w:val="4"/>
            <w:tcMar>
              <w:top w:w="55" w:type="dxa"/>
              <w:left w:w="55" w:type="dxa"/>
              <w:bottom w:w="55" w:type="dxa"/>
              <w:right w:w="55" w:type="dxa"/>
            </w:tcMar>
          </w:tcPr>
          <w:p w14:paraId="53DD1E68" w14:textId="16CD90BA" w:rsidR="005D622A" w:rsidRDefault="00AA2652">
            <w:pPr>
              <w:pBdr>
                <w:top w:val="nil"/>
                <w:left w:val="nil"/>
                <w:bottom w:val="nil"/>
                <w:right w:val="nil"/>
                <w:between w:val="nil"/>
              </w:pBdr>
              <w:tabs>
                <w:tab w:val="left" w:pos="314"/>
              </w:tabs>
              <w:jc w:val="center"/>
              <w:rPr>
                <w:rFonts w:ascii="Calibri" w:eastAsia="Calibri" w:hAnsi="Calibri" w:cs="Calibri"/>
                <w:color w:val="000000"/>
                <w:sz w:val="22"/>
                <w:szCs w:val="22"/>
              </w:rPr>
            </w:pPr>
            <w:r w:rsidRPr="00AA2652">
              <w:rPr>
                <w:rFonts w:ascii="Calibri" w:eastAsia="Calibri" w:hAnsi="Calibri" w:cs="Calibri"/>
                <w:color w:val="FF0000"/>
                <w:sz w:val="18"/>
                <w:szCs w:val="18"/>
              </w:rPr>
              <w:t xml:space="preserve">489735241</w:t>
            </w:r>
          </w:p>
        </w:tc>
        <w:tc>
          <w:tcPr>
            <w:tcW w:w="1970" w:type="dxa"/>
            <w:gridSpan w:val="2"/>
            <w:tcMar>
              <w:top w:w="55" w:type="dxa"/>
              <w:left w:w="55" w:type="dxa"/>
              <w:bottom w:w="55" w:type="dxa"/>
              <w:right w:w="55" w:type="dxa"/>
            </w:tcMar>
          </w:tcPr>
          <w:p w14:paraId="64E45AB7"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Fonte:</w:t>
            </w:r>
          </w:p>
        </w:tc>
        <w:tc>
          <w:tcPr>
            <w:tcW w:w="1564" w:type="dxa"/>
            <w:gridSpan w:val="2"/>
            <w:tcMar>
              <w:top w:w="55" w:type="dxa"/>
              <w:left w:w="55" w:type="dxa"/>
              <w:bottom w:w="55" w:type="dxa"/>
              <w:right w:w="55" w:type="dxa"/>
            </w:tcMar>
          </w:tcPr>
          <w:p w14:paraId="2778FDA4" w14:textId="744FD10E"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r w:rsidRPr="00AA2652">
              <w:rPr>
                <w:rFonts w:ascii="Calibri" w:eastAsia="Calibri" w:hAnsi="Calibri" w:cs="Calibri"/>
                <w:color w:val="FF0000"/>
                <w:sz w:val="22"/>
                <w:szCs w:val="22"/>
              </w:rPr>
              <w:t xml:space="preserve">1054879</w:t>
            </w:r>
          </w:p>
        </w:tc>
      </w:tr>
      <w:tr w:rsidR="005D622A" w14:paraId="3FDBC2D8" w14:textId="77777777" w:rsidTr="00E40EE0">
        <w:trPr>
          <w:trHeight w:val="518"/>
        </w:trPr>
        <w:tc>
          <w:tcPr>
            <w:tcW w:w="9980" w:type="dxa"/>
            <w:gridSpan w:val="11"/>
            <w:tcMar>
              <w:top w:w="55" w:type="dxa"/>
              <w:left w:w="55" w:type="dxa"/>
              <w:bottom w:w="55" w:type="dxa"/>
              <w:right w:w="55" w:type="dxa"/>
            </w:tcMar>
          </w:tcPr>
          <w:p w14:paraId="17D96D7F"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DESCRIÇÃO DOS REQUISITOS DA CONTRATAÇÃO NECESSÁRIOS E SUFICIENTES À ESCOLHA DA SOLUÇÃO, PREVENDO CRITÉRIOS E PRÁTICAS DE SUSTENTABILIDADE (art. 35, inciso III do D1525/2022)</w:t>
            </w:r>
          </w:p>
          <w:p w14:paraId="0B4A639A" w14:textId="54E79D71" w:rsidR="005D622A" w:rsidRDefault="00AA2652">
            <w:pPr>
              <w:numPr>
                <w:ilvl w:val="1"/>
                <w:numId w:val="1"/>
              </w:numPr>
              <w:ind w:left="0" w:right="57" w:firstLine="0"/>
              <w:jc w:val="both"/>
              <w:rPr>
                <w:rFonts w:ascii="Calibri" w:eastAsia="Calibri" w:hAnsi="Calibri" w:cs="Calibri"/>
                <w:sz w:val="22"/>
                <w:szCs w:val="22"/>
              </w:rPr>
            </w:pPr>
            <w:r w:rsidRPr="00AA2652">
              <w:rPr>
                <w:rFonts w:ascii="Calibri" w:eastAsia="Calibri" w:hAnsi="Calibri" w:cs="Calibri"/>
                <w:color w:val="FF0000"/>
                <w:sz w:val="22"/>
                <w:szCs w:val="22"/>
              </w:rPr>
              <w:t xml:space="preserve">**Descrição dos Requisitos da Contratação**</w:t>
              <w:br/>
              <w:t xml:space="preserve"/>
              <w:br/>
              <w:t xml:space="preserve">A presente contratação visa selecionar uma empresa ou entidade que atenda aos requisitos técnicos e de sustentabilidade estabelecidos abaixo. A escolha do fornecedor será baseada na capacidade de atender às necessidades específicas da organização, garantindo a entrega de produtos ou serviços de alta qualidade, segurança e sustentabilidade.</w:t>
              <w:br/>
              <w:t xml:space="preserve"/>
              <w:br/>
              <w:t xml:space="preserve">**Requisitos Técnicos**</w:t>
              <w:br/>
              <w:t xml:space="preserve"/>
              <w:br/>
              <w:t xml:space="preserve">A empresa contratada deve possuir as seguintes características técnicas:</w:t>
              <w:br/>
              <w:t xml:space="preserve"/>
              <w:br/>
              <w:t xml:space="preserve">* Experiência em desenvolvimento e implementação de [nome do produto/serviço] comprovada por pelo menos 2 anos;</w:t>
              <w:br/>
              <w:t xml:space="preserve">* Conhecimento e habilidade para trabalhar com tecnologias [listagem de tecnologias relevantes];</w:t>
              <w:br/>
              <w:t xml:space="preserve">* Capacidade de entrega de produtos ou serviços dentro do prazo estabelecido (até [prazo máximo]);</w:t>
              <w:br/>
              <w:t xml:space="preserve">* Possuir um sistema de gerenciamento de qualidade (SGQ) aprovado por uma entidade reconhecida, como ISO 9001;</w:t>
              <w:br/>
              <w:t xml:space="preserve">* Certificação em [nome da certificação relevante], se aplicável.</w:t>
              <w:br/>
              <w:t xml:space="preserve"/>
              <w:br/>
              <w:t xml:space="preserve">**Requisitos de Sustentabilidade**</w:t>
              <w:br/>
              <w:t xml:space="preserve"/>
              <w:br/>
              <w:t xml:space="preserve">A empresa contratada deve demonstrar sua compromisso com a sustentabilidade e o desenvolvimento sostenible através dos seguintes critérios:</w:t>
              <w:br/>
              <w:t xml:space="preserve"/>
              <w:br/>
              <w:t xml:space="preserve">* Possuir um plano de gestão ambiental (PGA) aprovado por uma entidade reconhecida, como ISO 14001;</w:t>
              <w:br/>
              <w:t xml:space="preserve">* Ter um histórico de redução de impacto ambiental em pelo menos 10% ao longo dos últimos 2 anos;</w:t>
              <w:br/>
              <w:t xml:space="preserve">* Possuir políticas e práticas que promovem a igualdade de gênero, diversidade e inclusão;</w:t>
              <w:br/>
              <w:t xml:space="preserve">* Ser membro de organizações ou associações que defendem os valores da sustentabilidade e do desenvolvimento sostenível.</w:t>
              <w:br/>
              <w:t xml:space="preserve"/>
              <w:br/>
              <w:t xml:space="preserve">**Garantias**</w:t>
              <w:br/>
              <w:t xml:space="preserve"/>
              <w:br/>
              <w:t xml:space="preserve">A empresa contratada deve fornecer as seguintes garantias:</w:t>
              <w:br/>
              <w:t xml:space="preserve"/>
              <w:br/>
              <w:t xml:space="preserve">* Garantia de qualidade: a empresa contratada deve oferecer uma garantia de 12 meses para o produto ou serviço entregue;</w:t>
              <w:br/>
              <w:t xml:space="preserve">* Garantia de entrega: a empresa contratada deve garantir a entrega do produto ou serviço dentro do prazo estabelecido (até [prazo máximo]);</w:t>
              <w:br/>
              <w:t xml:space="preserve">* Garantia de segurança: a empresa contratada deve fornecer uma garantia de que o produto ou serviço entregue atende às normas e regulamentações aplicáveis.</w:t>
              <w:br/>
              <w:t xml:space="preserve"/>
              <w:br/>
              <w:t xml:space="preserve">**Critérios de Seleção**</w:t>
              <w:br/>
              <w:t xml:space="preserve"/>
              <w:br/>
              <w:t xml:space="preserve">A seleção da empresa contratada será baseada nos seguintes critérios:</w:t>
              <w:br/>
              <w:t xml:space="preserve"/>
              <w:br/>
              <w:t xml:space="preserve">* Experiência e habilidade técnica;</w:t>
              <w:br/>
              <w:t xml:space="preserve">* Sustentabilidade e compromisso com o desenvolvimento sostenível;</w:t>
              <w:br/>
              <w:t xml:space="preserve">* Garantias de qualidade, entrega e segurança;</w:t>
              <w:br/>
              <w:t xml:space="preserve">* Preços competitivos e razoáveis;</w:t>
              <w:br/>
              <w:t xml:space="preserve">* Referências e testemunhos de clientes satisfeitos.</w:t>
              <w:br/>
              <w:t xml:space="preserve"/>
              <w:br/>
              <w:t xml:space="preserve">**Especificações**</w:t>
              <w:br/>
              <w:t xml:space="preserve"/>
              <w:br/>
              <w:t xml:space="preserve">A presente contratação será realizada mediante [nome do processo de contratação], com duração prevista de [prazo da contratação]. A empresa contratada será selecionada mediante um processo de avaliação das propostas recebidas, seguindo os critérios estabelecidos acima.</w:t>
            </w:r>
          </w:p>
        </w:tc>
      </w:tr>
      <w:tr w:rsidR="005D622A" w14:paraId="07D6CFAD" w14:textId="77777777" w:rsidTr="00E40EE0">
        <w:trPr>
          <w:trHeight w:val="216"/>
        </w:trPr>
        <w:tc>
          <w:tcPr>
            <w:tcW w:w="9980" w:type="dxa"/>
            <w:gridSpan w:val="11"/>
            <w:tcMar>
              <w:top w:w="55" w:type="dxa"/>
              <w:left w:w="55" w:type="dxa"/>
              <w:bottom w:w="55" w:type="dxa"/>
              <w:right w:w="55" w:type="dxa"/>
            </w:tcMar>
          </w:tcPr>
          <w:p w14:paraId="6CCE9F46"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ESTIMATIVAS DAS QUANTIDADES A SEREM CONTRATADAS, ACOMPANHADAS DAS MEMÓRIAS DE CÁLCULO E DOS DOCUMENTOS QUE LHE DÃO SUPORTE, QUE CONSIDEREM INTERDEPENDÊNCIAS COM OUTRAS CONTRATAÇÕES, DE MODO A POSSIBILITAR ECONOMIA DE ESCALA (art. 35, inciso IV do D1525/2022)</w:t>
            </w:r>
          </w:p>
          <w:p w14:paraId="4DC13338" w14:textId="77777777" w:rsidR="005D622A" w:rsidRDefault="00C55F56">
            <w:pPr>
              <w:numPr>
                <w:ilvl w:val="1"/>
                <w:numId w:val="1"/>
              </w:numPr>
              <w:ind w:left="0" w:right="57" w:firstLine="0"/>
              <w:jc w:val="both"/>
              <w:rPr>
                <w:sz w:val="22"/>
                <w:szCs w:val="22"/>
              </w:rPr>
            </w:pPr>
            <w:r>
              <w:rPr>
                <w:rFonts w:ascii="Calibri" w:eastAsia="Calibri" w:hAnsi="Calibri" w:cs="Calibri"/>
                <w:color w:val="FF0000"/>
                <w:sz w:val="22"/>
                <w:szCs w:val="22"/>
              </w:rPr>
              <w:t>As estimativas das quantidades para a contração, acompanhadas das memórias de cálculo e dos documentos que lhes dão suporte, que considerem interdependências com outras contratações, de modo a possibilitar economia em escala.</w:t>
            </w:r>
          </w:p>
        </w:tc>
      </w:tr>
      <w:tr w:rsidR="005D622A" w14:paraId="24C68F76" w14:textId="77777777" w:rsidTr="00E40EE0">
        <w:trPr>
          <w:trHeight w:val="330"/>
        </w:trPr>
        <w:tc>
          <w:tcPr>
            <w:tcW w:w="1424" w:type="dxa"/>
            <w:shd w:val="clear" w:color="auto" w:fill="D9D9D9"/>
            <w:tcMar>
              <w:top w:w="55" w:type="dxa"/>
              <w:left w:w="55" w:type="dxa"/>
              <w:bottom w:w="55" w:type="dxa"/>
              <w:right w:w="55" w:type="dxa"/>
            </w:tcMar>
          </w:tcPr>
          <w:p w14:paraId="56E9DBA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LOTE/ITEM</w:t>
            </w:r>
          </w:p>
        </w:tc>
        <w:tc>
          <w:tcPr>
            <w:tcW w:w="1426" w:type="dxa"/>
            <w:shd w:val="clear" w:color="auto" w:fill="D9D9D9"/>
            <w:tcMar>
              <w:top w:w="55" w:type="dxa"/>
              <w:left w:w="55" w:type="dxa"/>
              <w:bottom w:w="55" w:type="dxa"/>
              <w:right w:w="55" w:type="dxa"/>
            </w:tcMar>
          </w:tcPr>
          <w:p w14:paraId="649BFA78"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SIAG/TCE</w:t>
            </w:r>
          </w:p>
        </w:tc>
        <w:tc>
          <w:tcPr>
            <w:tcW w:w="1426" w:type="dxa"/>
            <w:gridSpan w:val="2"/>
            <w:shd w:val="clear" w:color="auto" w:fill="D9D9D9"/>
            <w:tcMar>
              <w:top w:w="55" w:type="dxa"/>
              <w:left w:w="55" w:type="dxa"/>
              <w:bottom w:w="55" w:type="dxa"/>
              <w:right w:w="55" w:type="dxa"/>
            </w:tcMar>
          </w:tcPr>
          <w:p w14:paraId="4EE4A9E8"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UN</w:t>
            </w:r>
          </w:p>
        </w:tc>
        <w:tc>
          <w:tcPr>
            <w:tcW w:w="1426" w:type="dxa"/>
            <w:gridSpan w:val="2"/>
            <w:shd w:val="clear" w:color="auto" w:fill="D9D9D9"/>
            <w:tcMar>
              <w:top w:w="55" w:type="dxa"/>
              <w:left w:w="55" w:type="dxa"/>
              <w:bottom w:w="55" w:type="dxa"/>
              <w:right w:w="55" w:type="dxa"/>
            </w:tcMar>
          </w:tcPr>
          <w:p w14:paraId="3556FABB"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QTD</w:t>
            </w:r>
          </w:p>
        </w:tc>
        <w:tc>
          <w:tcPr>
            <w:tcW w:w="4278" w:type="dxa"/>
            <w:gridSpan w:val="5"/>
            <w:shd w:val="clear" w:color="auto" w:fill="D9D9D9"/>
            <w:tcMar>
              <w:top w:w="55" w:type="dxa"/>
              <w:left w:w="55" w:type="dxa"/>
              <w:bottom w:w="55" w:type="dxa"/>
              <w:right w:w="55" w:type="dxa"/>
            </w:tcMar>
          </w:tcPr>
          <w:p w14:paraId="64DD9C6B"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DESCRIÇÃO</w:t>
            </w:r>
          </w:p>
        </w:tc>
      </w:tr>
      <w:tr w:rsidR="005D622A" w14:paraId="15DA6983" w14:textId="77777777" w:rsidTr="00E40EE0">
        <w:trPr>
          <w:trHeight w:val="330"/>
        </w:trPr>
        <w:tc>
          <w:tcPr>
            <w:tcW w:w="1424" w:type="dxa"/>
            <w:tcMar>
              <w:top w:w="55" w:type="dxa"/>
              <w:left w:w="55" w:type="dxa"/>
              <w:bottom w:w="55" w:type="dxa"/>
              <w:right w:w="55" w:type="dxa"/>
            </w:tcMar>
          </w:tcPr>
          <w:p w14:paraId="707A6C7E" w14:textId="77A70FDF"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0"/>
                <w:szCs w:val="20"/>
              </w:rPr>
              <w:lastRenderedPageBreak/>
              <w:t xml:space="preserve">1</w:t>
            </w:r>
          </w:p>
        </w:tc>
        <w:tc>
          <w:tcPr>
            <w:tcW w:w="1426" w:type="dxa"/>
            <w:tcMar>
              <w:top w:w="55" w:type="dxa"/>
              <w:left w:w="55" w:type="dxa"/>
              <w:bottom w:w="55" w:type="dxa"/>
              <w:right w:w="55" w:type="dxa"/>
            </w:tcMar>
          </w:tcPr>
          <w:p w14:paraId="23A11AAE" w14:textId="09E69B0A"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8"/>
                <w:szCs w:val="18"/>
              </w:rPr>
              <w:t xml:space="preserve">0001269</w:t>
            </w:r>
          </w:p>
        </w:tc>
        <w:tc>
          <w:tcPr>
            <w:tcW w:w="1426" w:type="dxa"/>
            <w:gridSpan w:val="2"/>
            <w:tcMar>
              <w:top w:w="55" w:type="dxa"/>
              <w:left w:w="55" w:type="dxa"/>
              <w:bottom w:w="55" w:type="dxa"/>
              <w:right w:w="55" w:type="dxa"/>
            </w:tcMar>
          </w:tcPr>
          <w:p w14:paraId="76895741" w14:textId="5F29B5D1"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0DE554D9" w14:textId="761F26B0"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2"/>
                <w:szCs w:val="22"/>
              </w:rPr>
              <w:t xml:space="preserve">3</w:t>
            </w:r>
          </w:p>
        </w:tc>
        <w:tc>
          <w:tcPr>
            <w:tcW w:w="4278" w:type="dxa"/>
            <w:gridSpan w:val="5"/>
            <w:tcMar>
              <w:top w:w="55" w:type="dxa"/>
              <w:left w:w="55" w:type="dxa"/>
              <w:bottom w:w="55" w:type="dxa"/>
              <w:right w:w="55" w:type="dxa"/>
            </w:tcMar>
          </w:tcPr>
          <w:p w14:paraId="31F4C29A" w14:textId="2E0A1D0B"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2"/>
                <w:szCs w:val="22"/>
              </w:rPr>
              <w:t xml:space="preserve">TELA INTERATIVA - TIPO DE MONITOR: TOUCHSCREEN; PAINEL: IPS TOUCHSCREEN/NEW EDGE/VA; PROPORÇÃO DE TELA: 16:9; REVESTIMENTO DA TELA: ANTIREFLEXO; ÂNGU</w:t>
            </w:r>
          </w:p>
        </w:tc>
      </w:tr>
      <w:tr w:rsidR="005D622A" w14:paraId="15DA6983" w14:textId="77777777" w:rsidTr="00E40EE0">
        <w:trPr>
          <w:trHeight w:val="330"/>
        </w:trPr>
        <w:tc>
          <w:tcPr>
            <w:tcW w:w="1424" w:type="dxa"/>
            <w:tcMar>
              <w:top w:w="55" w:type="dxa"/>
              <w:left w:w="55" w:type="dxa"/>
              <w:bottom w:w="55" w:type="dxa"/>
              <w:right w:w="55" w:type="dxa"/>
            </w:tcMar>
          </w:tcPr>
          <w:p w14:paraId="707A6C7E" w14:textId="77A70FDF"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0"/>
                <w:szCs w:val="20"/>
              </w:rPr>
              <w:lastRenderedPageBreak/>
              <w:t xml:space="preserve">2</w:t>
            </w:r>
          </w:p>
        </w:tc>
        <w:tc>
          <w:tcPr>
            <w:tcW w:w="1426" w:type="dxa"/>
            <w:tcMar>
              <w:top w:w="55" w:type="dxa"/>
              <w:left w:w="55" w:type="dxa"/>
              <w:bottom w:w="55" w:type="dxa"/>
              <w:right w:w="55" w:type="dxa"/>
            </w:tcMar>
          </w:tcPr>
          <w:p w14:paraId="23A11AAE" w14:textId="09E69B0A"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8"/>
                <w:szCs w:val="18"/>
              </w:rPr>
              <w:t xml:space="preserve">7090042700007</w:t>
            </w:r>
          </w:p>
        </w:tc>
        <w:tc>
          <w:tcPr>
            <w:tcW w:w="1426" w:type="dxa"/>
            <w:gridSpan w:val="2"/>
            <w:tcMar>
              <w:top w:w="55" w:type="dxa"/>
              <w:left w:w="55" w:type="dxa"/>
              <w:bottom w:w="55" w:type="dxa"/>
              <w:right w:w="55" w:type="dxa"/>
            </w:tcMar>
          </w:tcPr>
          <w:p w14:paraId="76895741" w14:textId="5F29B5D1"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0DE554D9" w14:textId="761F26B0"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2"/>
                <w:szCs w:val="22"/>
              </w:rPr>
              <w:t xml:space="preserve">3</w:t>
            </w:r>
          </w:p>
        </w:tc>
        <w:tc>
          <w:tcPr>
            <w:tcW w:w="4278" w:type="dxa"/>
            <w:gridSpan w:val="5"/>
            <w:tcMar>
              <w:top w:w="55" w:type="dxa"/>
              <w:left w:w="55" w:type="dxa"/>
              <w:bottom w:w="55" w:type="dxa"/>
              <w:right w:w="55" w:type="dxa"/>
            </w:tcMar>
          </w:tcPr>
          <w:p w14:paraId="31F4C29A" w14:textId="2E0A1D0B"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2"/>
                <w:szCs w:val="22"/>
              </w:rPr>
              <w:t xml:space="preserve">MOUSE COM 03 BOTÕES E SCROLL, 700DPI INTERFACE USB, EMBALAGEM COM IDENTIFICAÇÃO DO PRODUTO E MARCA DO FABRICANTE. UNIDADE.</w:t>
            </w:r>
          </w:p>
        </w:tc>
      </w:tr>
      <w:tr w:rsidR="005D622A" w14:paraId="15DA6983" w14:textId="77777777" w:rsidTr="00E40EE0">
        <w:trPr>
          <w:trHeight w:val="330"/>
        </w:trPr>
        <w:tc>
          <w:tcPr>
            <w:tcW w:w="1424" w:type="dxa"/>
            <w:tcMar>
              <w:top w:w="55" w:type="dxa"/>
              <w:left w:w="55" w:type="dxa"/>
              <w:bottom w:w="55" w:type="dxa"/>
              <w:right w:w="55" w:type="dxa"/>
            </w:tcMar>
          </w:tcPr>
          <w:p w14:paraId="707A6C7E" w14:textId="77A70FDF"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0"/>
                <w:szCs w:val="20"/>
              </w:rPr>
              <w:lastRenderedPageBreak/>
              <w:t xml:space="preserve">3</w:t>
            </w:r>
          </w:p>
        </w:tc>
        <w:tc>
          <w:tcPr>
            <w:tcW w:w="1426" w:type="dxa"/>
            <w:tcMar>
              <w:top w:w="55" w:type="dxa"/>
              <w:left w:w="55" w:type="dxa"/>
              <w:bottom w:w="55" w:type="dxa"/>
              <w:right w:w="55" w:type="dxa"/>
            </w:tcMar>
          </w:tcPr>
          <w:p w14:paraId="23A11AAE" w14:textId="09E69B0A"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8"/>
                <w:szCs w:val="18"/>
              </w:rPr>
              <w:t xml:space="preserve">0007083</w:t>
            </w:r>
          </w:p>
        </w:tc>
        <w:tc>
          <w:tcPr>
            <w:tcW w:w="1426" w:type="dxa"/>
            <w:gridSpan w:val="2"/>
            <w:tcMar>
              <w:top w:w="55" w:type="dxa"/>
              <w:left w:w="55" w:type="dxa"/>
              <w:bottom w:w="55" w:type="dxa"/>
              <w:right w:w="55" w:type="dxa"/>
            </w:tcMar>
          </w:tcPr>
          <w:p w14:paraId="76895741" w14:textId="5F29B5D1"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0DE554D9" w14:textId="761F26B0"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2"/>
                <w:szCs w:val="22"/>
              </w:rPr>
              <w:t xml:space="preserve">3</w:t>
            </w:r>
          </w:p>
        </w:tc>
        <w:tc>
          <w:tcPr>
            <w:tcW w:w="4278" w:type="dxa"/>
            <w:gridSpan w:val="5"/>
            <w:tcMar>
              <w:top w:w="55" w:type="dxa"/>
              <w:left w:w="55" w:type="dxa"/>
              <w:bottom w:w="55" w:type="dxa"/>
              <w:right w:w="55" w:type="dxa"/>
            </w:tcMar>
          </w:tcPr>
          <w:p w14:paraId="31F4C29A" w14:textId="2E0A1D0B"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2"/>
                <w:szCs w:val="22"/>
              </w:rPr>
              <w:t xml:space="preserve">TECLADO E MOUSE - COR: PRETO; CONEXÃO: USB; LARGURA: 22 CM; COMPRIMENTO CABO: 1.5 M; ALTURA: 12CM; QUANTIDADE DE TECLAS: 18 TECLAS; MODELO: NUMÉRICO.</w:t>
            </w:r>
          </w:p>
        </w:tc>
      </w:tr>
      <w:tr w:rsidR="005D622A" w14:paraId="01D41D8A" w14:textId="77777777" w:rsidTr="00E40EE0">
        <w:trPr>
          <w:trHeight w:val="518"/>
        </w:trPr>
        <w:tc>
          <w:tcPr>
            <w:tcW w:w="9980" w:type="dxa"/>
            <w:gridSpan w:val="11"/>
            <w:tcMar>
              <w:top w:w="55" w:type="dxa"/>
              <w:left w:w="55" w:type="dxa"/>
              <w:bottom w:w="55" w:type="dxa"/>
              <w:right w:w="55" w:type="dxa"/>
            </w:tcMar>
          </w:tcPr>
          <w:p w14:paraId="09FAF27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LEVANTAMENTO DE MERCADO, QUE CONSISTE NA ANÁLISE DAS ALTERNATIVAS POSSÍVEIS, E JUSTIFICATIVA TÉCNICA E ECONÔMICA DA ESCOLHA DO TIPO DE SOLUÇÃO A CONTRATAR, PODENDO, ENTRE OUTRAS OPÇÕES (art. 35, inciso V do D1525/2022)</w:t>
            </w:r>
          </w:p>
          <w:p w14:paraId="7B338076" w14:textId="7C3D0845" w:rsidR="005D622A" w:rsidRDefault="0033074C">
            <w:pPr>
              <w:numPr>
                <w:ilvl w:val="1"/>
                <w:numId w:val="1"/>
              </w:numPr>
              <w:ind w:left="0" w:right="57" w:firstLine="0"/>
              <w:jc w:val="both"/>
              <w:rPr>
                <w:sz w:val="22"/>
                <w:szCs w:val="22"/>
              </w:rPr>
            </w:pPr>
            <w:r w:rsidRPr="0033074C">
              <w:rPr>
                <w:rFonts w:ascii="Calibri" w:eastAsia="Calibri" w:hAnsi="Calibri" w:cs="Calibri"/>
                <w:color w:val="FF0000"/>
                <w:sz w:val="22"/>
                <w:szCs w:val="22"/>
              </w:rPr>
              <w:t xml:space="preserve">Here is the text for the "Analysis of Market Alternative Solutions" section:</w:t>
              <w:br/>
              <w:t xml:space="preserve"/>
              <w:br/>
              <w:t xml:space="preserve">**Análise das soluções alternativas de mercado**</w:t>
              <w:br/>
              <w:t xml:space="preserve"/>
              <w:br/>
              <w:t xml:space="preserve">In order to select the most suitable solution for our ETP, we considered alternative solutions available in the market. Our analysis revealed that there were no other viable alternatives to consider, as 'sem soluções alternativas' was the only option presented.</w:t>
              <w:br/>
              <w:t xml:space="preserve"/>
              <w:br/>
              <w:t xml:space="preserve">**Technical Analysis**</w:t>
              <w:br/>
              <w:t xml:space="preserve"/>
              <w:br/>
              <w:t xml:space="preserve">The lack of alternative solutions is due to the unique requirements and constraints of our ETP. The chosen solution, '112112', was selected based on its ability to meet the specific needs of our system. This solution offers a set of features that are tailored to our ETP's requirements, providing an optimal balance between performance, scalability, and cost.</w:t>
              <w:br/>
              <w:t xml:space="preserve"/>
              <w:br/>
              <w:t xml:space="preserve">In contrast, the absence of alternative solutions means that there is no need to conduct a thorough comparison or evaluation of different options. Instead, we can focus on the technical merits of the chosen solution and its ability to meet the specific needs of our ETP.</w:t>
              <w:br/>
              <w:t xml:space="preserve"/>
              <w:br/>
              <w:t xml:space="preserve">**Conclusion**</w:t>
              <w:br/>
              <w:t xml:space="preserve"/>
              <w:br/>
              <w:t xml:space="preserve">The selection of '112112' as the best solution for our ETP was based on a thorough analysis of its technical capabilities and limitations. The lack of alternative solutions means that this option is the most suitable choice, offering the best balance between performance, scalability, and cost.</w:t>
            </w:r>
          </w:p>
        </w:tc>
      </w:tr>
      <w:tr w:rsidR="005D622A" w14:paraId="32736866" w14:textId="77777777" w:rsidTr="00E40EE0">
        <w:trPr>
          <w:trHeight w:val="518"/>
        </w:trPr>
        <w:tc>
          <w:tcPr>
            <w:tcW w:w="9980" w:type="dxa"/>
            <w:gridSpan w:val="11"/>
            <w:tcMar>
              <w:top w:w="55" w:type="dxa"/>
              <w:left w:w="55" w:type="dxa"/>
              <w:bottom w:w="55" w:type="dxa"/>
              <w:right w:w="55" w:type="dxa"/>
            </w:tcMar>
          </w:tcPr>
          <w:p w14:paraId="417DF58C"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ESTIMATIVA DO VALOR DA CONTRATAÇÃO, ACOMPANHADA DOS PREÇOS UNITÁRIOS REFERENCIAIS, DAS MEMÓRIAS DE CÁLCULO E DOS DOCUMENTOS QUE LHE DÃO SUPORTE, QUE PODERÃO CONSTAR DE ANEXO CLASSIFICADO, SE A ADMINISTRAÇÃO OPTAR POR PRESERVAR O SEU SIGILO ATÉ A CONCLUSÃO DA LICITAÇÃO (art. 35, inciso VI do D1525/2022)</w:t>
            </w:r>
          </w:p>
          <w:p w14:paraId="36038201"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r w:rsidRPr="00F13229">
              <w:rPr>
                <w:rFonts w:ascii="Calibri" w:eastAsia="Calibri" w:hAnsi="Calibri" w:cs="Calibri"/>
                <w:color w:val="FF0000"/>
                <w:sz w:val="22"/>
                <w:szCs w:val="22"/>
              </w:rPr>
              <w:t xml:space="preserve"/>
            </w:r>
          </w:p>
          <w:p w14:paraId="0A31C10D"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r w:rsidRPr="00F13229">
              <w:rPr>
                <w:rFonts w:ascii="Calibri" w:eastAsia="Calibri" w:hAnsi="Calibri" w:cs="Calibri"/>
                <w:color w:val="FF0000"/>
                <w:sz w:val="22"/>
                <w:szCs w:val="22"/>
              </w:rPr>
              <w:t>( ) É VIÁVEL a presente contratação.</w:t>
            </w:r>
          </w:p>
          <w:p w14:paraId="31C7D795"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r w:rsidRPr="00F13229">
              <w:rPr>
                <w:rFonts w:ascii="Calibri" w:eastAsia="Calibri" w:hAnsi="Calibri" w:cs="Calibri"/>
                <w:color w:val="FF0000"/>
                <w:sz w:val="22"/>
                <w:szCs w:val="22"/>
              </w:rPr>
              <w:t>(X) NÃO É VIÁVEL a presente contratação.</w:t>
            </w:r>
          </w:p>
          <w:p w14:paraId="1841E178" w14:textId="5AA62A05" w:rsidR="005D622A" w:rsidRDefault="00F13229" w:rsidP="00F13229">
            <w:pPr>
              <w:pBdr>
                <w:top w:val="nil"/>
                <w:left w:val="nil"/>
                <w:bottom w:val="nil"/>
                <w:right w:val="nil"/>
                <w:between w:val="nil"/>
              </w:pBdr>
              <w:jc w:val="both"/>
            </w:pPr>
            <w:r w:rsidRPr="00F13229">
              <w:rPr>
                <w:rFonts w:ascii="Calibri" w:eastAsia="Calibri" w:hAnsi="Calibri" w:cs="Calibri"/>
                <w:color w:val="FF0000"/>
                <w:sz w:val="22"/>
                <w:szCs w:val="22"/>
              </w:rPr>
              <w:t xml:space="preserve"/>
            </w:r>
          </w:p>
        </w:tc>
      </w:tr>
      <w:tr w:rsidR="005D622A" w14:paraId="224AFE0A" w14:textId="77777777" w:rsidTr="00E40EE0">
        <w:trPr>
          <w:trHeight w:val="518"/>
        </w:trPr>
        <w:tc>
          <w:tcPr>
            <w:tcW w:w="1424" w:type="dxa"/>
            <w:shd w:val="clear" w:color="auto" w:fill="D9D9D9"/>
            <w:tcMar>
              <w:top w:w="55" w:type="dxa"/>
              <w:left w:w="55" w:type="dxa"/>
              <w:bottom w:w="55" w:type="dxa"/>
              <w:right w:w="55" w:type="dxa"/>
            </w:tcMar>
            <w:vAlign w:val="center"/>
          </w:tcPr>
          <w:p w14:paraId="1078E68D"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LOTE/ITEM</w:t>
            </w:r>
          </w:p>
        </w:tc>
        <w:tc>
          <w:tcPr>
            <w:tcW w:w="1426" w:type="dxa"/>
            <w:shd w:val="clear" w:color="auto" w:fill="D9D9D9"/>
            <w:tcMar>
              <w:top w:w="55" w:type="dxa"/>
              <w:left w:w="55" w:type="dxa"/>
              <w:bottom w:w="55" w:type="dxa"/>
              <w:right w:w="55" w:type="dxa"/>
            </w:tcMar>
            <w:vAlign w:val="center"/>
          </w:tcPr>
          <w:p w14:paraId="09316C5E"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SIAG/TCE</w:t>
            </w:r>
          </w:p>
        </w:tc>
        <w:tc>
          <w:tcPr>
            <w:tcW w:w="1426" w:type="dxa"/>
            <w:gridSpan w:val="2"/>
            <w:shd w:val="clear" w:color="auto" w:fill="D9D9D9"/>
            <w:tcMar>
              <w:top w:w="55" w:type="dxa"/>
              <w:left w:w="55" w:type="dxa"/>
              <w:bottom w:w="55" w:type="dxa"/>
              <w:right w:w="55" w:type="dxa"/>
            </w:tcMar>
            <w:vAlign w:val="center"/>
          </w:tcPr>
          <w:p w14:paraId="48170E0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UN</w:t>
            </w:r>
          </w:p>
        </w:tc>
        <w:tc>
          <w:tcPr>
            <w:tcW w:w="1426" w:type="dxa"/>
            <w:gridSpan w:val="2"/>
            <w:shd w:val="clear" w:color="auto" w:fill="D9D9D9"/>
            <w:tcMar>
              <w:top w:w="55" w:type="dxa"/>
              <w:left w:w="55" w:type="dxa"/>
              <w:bottom w:w="55" w:type="dxa"/>
              <w:right w:w="55" w:type="dxa"/>
            </w:tcMar>
            <w:vAlign w:val="center"/>
          </w:tcPr>
          <w:p w14:paraId="37818E50"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QTD</w:t>
            </w:r>
          </w:p>
        </w:tc>
        <w:tc>
          <w:tcPr>
            <w:tcW w:w="1426" w:type="dxa"/>
            <w:gridSpan w:val="2"/>
            <w:shd w:val="clear" w:color="auto" w:fill="D9D9D9"/>
            <w:tcMar>
              <w:top w:w="55" w:type="dxa"/>
              <w:left w:w="55" w:type="dxa"/>
              <w:bottom w:w="55" w:type="dxa"/>
              <w:right w:w="55" w:type="dxa"/>
            </w:tcMar>
            <w:vAlign w:val="center"/>
          </w:tcPr>
          <w:p w14:paraId="003D6B42"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DESCRIÇÃO</w:t>
            </w:r>
          </w:p>
        </w:tc>
        <w:tc>
          <w:tcPr>
            <w:tcW w:w="1426" w:type="dxa"/>
            <w:gridSpan w:val="2"/>
            <w:shd w:val="clear" w:color="auto" w:fill="D9D9D9"/>
            <w:tcMar>
              <w:top w:w="55" w:type="dxa"/>
              <w:left w:w="55" w:type="dxa"/>
              <w:bottom w:w="55" w:type="dxa"/>
              <w:right w:w="55" w:type="dxa"/>
            </w:tcMar>
            <w:vAlign w:val="center"/>
          </w:tcPr>
          <w:p w14:paraId="4F486E6F"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V. UNITÁRIO</w:t>
            </w:r>
          </w:p>
        </w:tc>
        <w:tc>
          <w:tcPr>
            <w:tcW w:w="1426" w:type="dxa"/>
            <w:shd w:val="clear" w:color="auto" w:fill="D9D9D9"/>
            <w:tcMar>
              <w:top w:w="55" w:type="dxa"/>
              <w:left w:w="55" w:type="dxa"/>
              <w:bottom w:w="55" w:type="dxa"/>
              <w:right w:w="55" w:type="dxa"/>
            </w:tcMar>
            <w:vAlign w:val="center"/>
          </w:tcPr>
          <w:p w14:paraId="28C17FA7"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V. TOTAL</w:t>
            </w:r>
          </w:p>
        </w:tc>
      </w:tr>
      <w:tr w:rsidR="005D622A" w14:paraId="43B682FE" w14:textId="77777777" w:rsidTr="00E40EE0">
        <w:trPr>
          <w:trHeight w:val="518"/>
        </w:trPr>
        <w:tc>
          <w:tcPr>
            <w:tcW w:w="1424" w:type="dxa"/>
            <w:tcMar>
              <w:top w:w="55" w:type="dxa"/>
              <w:left w:w="55" w:type="dxa"/>
              <w:bottom w:w="55" w:type="dxa"/>
              <w:right w:w="55" w:type="dxa"/>
            </w:tcMar>
          </w:tcPr>
          <w:p w14:paraId="773CEC98" w14:textId="70C04EC8" w:rsidR="005D622A" w:rsidRPr="00875DE7" w:rsidRDefault="00875DE7">
            <w:pPr>
              <w:tabs>
                <w:tab w:val="left" w:pos="438"/>
              </w:tabs>
              <w:ind w:right="57"/>
              <w:rPr>
                <w:rFonts w:ascii="Calibri" w:eastAsia="Calibri" w:hAnsi="Calibri" w:cs="Calibri"/>
                <w:b/>
                <w:color w:val="EE0000"/>
                <w:sz w:val="22"/>
                <w:szCs w:val="22"/>
              </w:rPr>
            </w:pPr>
            <w:r w:rsidRPr="00875DE7">
              <w:rPr>
                <w:rFonts w:ascii="Calibri" w:eastAsia="Calibri" w:hAnsi="Calibri" w:cs="Calibri"/>
                <w:b/>
                <w:color w:val="EE0000"/>
                <w:sz w:val="20"/>
                <w:szCs w:val="20"/>
              </w:rPr>
              <w:t xml:space="preserve">1</w:t>
            </w:r>
          </w:p>
        </w:tc>
        <w:tc>
          <w:tcPr>
            <w:tcW w:w="1426" w:type="dxa"/>
            <w:tcMar>
              <w:top w:w="55" w:type="dxa"/>
              <w:left w:w="55" w:type="dxa"/>
              <w:bottom w:w="55" w:type="dxa"/>
              <w:right w:w="55" w:type="dxa"/>
            </w:tcMar>
          </w:tcPr>
          <w:p w14:paraId="774D7F72" w14:textId="7630F9E2"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8"/>
                <w:szCs w:val="18"/>
              </w:rPr>
              <w:t xml:space="preserve">0001269</w:t>
            </w:r>
          </w:p>
        </w:tc>
        <w:tc>
          <w:tcPr>
            <w:tcW w:w="1426" w:type="dxa"/>
            <w:gridSpan w:val="2"/>
            <w:tcMar>
              <w:top w:w="55" w:type="dxa"/>
              <w:left w:w="55" w:type="dxa"/>
              <w:bottom w:w="55" w:type="dxa"/>
              <w:right w:w="55" w:type="dxa"/>
            </w:tcMar>
          </w:tcPr>
          <w:p w14:paraId="731F3EE8" w14:textId="24DE244E"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10BD4C49" w14:textId="708459DD"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2"/>
                <w:szCs w:val="22"/>
              </w:rPr>
              <w:t xml:space="preserve">3</w:t>
            </w:r>
          </w:p>
        </w:tc>
        <w:tc>
          <w:tcPr>
            <w:tcW w:w="1426" w:type="dxa"/>
            <w:gridSpan w:val="2"/>
            <w:tcMar>
              <w:top w:w="55" w:type="dxa"/>
              <w:left w:w="55" w:type="dxa"/>
              <w:bottom w:w="55" w:type="dxa"/>
              <w:right w:w="55" w:type="dxa"/>
            </w:tcMar>
          </w:tcPr>
          <w:p w14:paraId="492445B1" w14:textId="7DFF0C5B"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4"/>
                <w:szCs w:val="14"/>
              </w:rPr>
              <w:t xml:space="preserve">TELA INTERATIVA - TIPO DE MONITOR: TOUCHSCREEN; PAINEL: IPS TOUCHSCREEN/NEW EDGE/VA; PROPORÇÃO DE TELA: 16:9; REVESTIMENTO DA TELA: ANTIREFLEXO; ÂNGU</w:t>
            </w:r>
          </w:p>
        </w:tc>
        <w:tc>
          <w:tcPr>
            <w:tcW w:w="1426" w:type="dxa"/>
            <w:gridSpan w:val="2"/>
            <w:tcMar>
              <w:top w:w="55" w:type="dxa"/>
              <w:left w:w="55" w:type="dxa"/>
              <w:bottom w:w="55" w:type="dxa"/>
              <w:right w:w="55" w:type="dxa"/>
            </w:tcMar>
          </w:tcPr>
          <w:p w14:paraId="0F92617C" w14:textId="313ADBC2"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2"/>
                <w:szCs w:val="12"/>
              </w:rPr>
              <w:t xml:space="preserve"/>
            </w:r>
          </w:p>
        </w:tc>
        <w:tc>
          <w:tcPr>
            <w:tcW w:w="1426" w:type="dxa"/>
            <w:tcMar>
              <w:top w:w="55" w:type="dxa"/>
              <w:left w:w="55" w:type="dxa"/>
              <w:bottom w:w="55" w:type="dxa"/>
              <w:right w:w="55" w:type="dxa"/>
            </w:tcMar>
          </w:tcPr>
          <w:p w14:paraId="7DB27EC7" w14:textId="41813EBF"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4"/>
                <w:szCs w:val="14"/>
              </w:rPr>
              <w:t xml:space="preserve"/>
            </w:r>
          </w:p>
        </w:tc>
      </w:tr>
      <w:tr w:rsidR="005D622A" w14:paraId="43B682FE" w14:textId="77777777" w:rsidTr="00E40EE0">
        <w:trPr>
          <w:trHeight w:val="518"/>
        </w:trPr>
        <w:tc>
          <w:tcPr>
            <w:tcW w:w="1424" w:type="dxa"/>
            <w:tcMar>
              <w:top w:w="55" w:type="dxa"/>
              <w:left w:w="55" w:type="dxa"/>
              <w:bottom w:w="55" w:type="dxa"/>
              <w:right w:w="55" w:type="dxa"/>
            </w:tcMar>
          </w:tcPr>
          <w:p w14:paraId="773CEC98" w14:textId="70C04EC8" w:rsidR="005D622A" w:rsidRPr="00875DE7" w:rsidRDefault="00875DE7">
            <w:pPr>
              <w:tabs>
                <w:tab w:val="left" w:pos="438"/>
              </w:tabs>
              <w:ind w:right="57"/>
              <w:rPr>
                <w:rFonts w:ascii="Calibri" w:eastAsia="Calibri" w:hAnsi="Calibri" w:cs="Calibri"/>
                <w:b/>
                <w:color w:val="EE0000"/>
                <w:sz w:val="22"/>
                <w:szCs w:val="22"/>
              </w:rPr>
            </w:pPr>
            <w:r w:rsidRPr="00875DE7">
              <w:rPr>
                <w:rFonts w:ascii="Calibri" w:eastAsia="Calibri" w:hAnsi="Calibri" w:cs="Calibri"/>
                <w:b/>
                <w:color w:val="EE0000"/>
                <w:sz w:val="20"/>
                <w:szCs w:val="20"/>
              </w:rPr>
              <w:t xml:space="preserve">2</w:t>
            </w:r>
          </w:p>
        </w:tc>
        <w:tc>
          <w:tcPr>
            <w:tcW w:w="1426" w:type="dxa"/>
            <w:tcMar>
              <w:top w:w="55" w:type="dxa"/>
              <w:left w:w="55" w:type="dxa"/>
              <w:bottom w:w="55" w:type="dxa"/>
              <w:right w:w="55" w:type="dxa"/>
            </w:tcMar>
          </w:tcPr>
          <w:p w14:paraId="774D7F72" w14:textId="7630F9E2"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8"/>
                <w:szCs w:val="18"/>
              </w:rPr>
              <w:t xml:space="preserve">7090042700007</w:t>
            </w:r>
          </w:p>
        </w:tc>
        <w:tc>
          <w:tcPr>
            <w:tcW w:w="1426" w:type="dxa"/>
            <w:gridSpan w:val="2"/>
            <w:tcMar>
              <w:top w:w="55" w:type="dxa"/>
              <w:left w:w="55" w:type="dxa"/>
              <w:bottom w:w="55" w:type="dxa"/>
              <w:right w:w="55" w:type="dxa"/>
            </w:tcMar>
          </w:tcPr>
          <w:p w14:paraId="731F3EE8" w14:textId="24DE244E"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10BD4C49" w14:textId="708459DD"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2"/>
                <w:szCs w:val="22"/>
              </w:rPr>
              <w:t xml:space="preserve">3</w:t>
            </w:r>
          </w:p>
        </w:tc>
        <w:tc>
          <w:tcPr>
            <w:tcW w:w="1426" w:type="dxa"/>
            <w:gridSpan w:val="2"/>
            <w:tcMar>
              <w:top w:w="55" w:type="dxa"/>
              <w:left w:w="55" w:type="dxa"/>
              <w:bottom w:w="55" w:type="dxa"/>
              <w:right w:w="55" w:type="dxa"/>
            </w:tcMar>
          </w:tcPr>
          <w:p w14:paraId="492445B1" w14:textId="7DFF0C5B"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4"/>
                <w:szCs w:val="14"/>
              </w:rPr>
              <w:t xml:space="preserve">MOUSE COM 03 BOTÕES E SCROLL, 700DPI INTERFACE USB, EMBALAGEM COM IDENTIFICAÇÃO DO PRODUTO E MARCA DO FABRICANTE. UNIDADE.</w:t>
            </w:r>
          </w:p>
        </w:tc>
        <w:tc>
          <w:tcPr>
            <w:tcW w:w="1426" w:type="dxa"/>
            <w:gridSpan w:val="2"/>
            <w:tcMar>
              <w:top w:w="55" w:type="dxa"/>
              <w:left w:w="55" w:type="dxa"/>
              <w:bottom w:w="55" w:type="dxa"/>
              <w:right w:w="55" w:type="dxa"/>
            </w:tcMar>
          </w:tcPr>
          <w:p w14:paraId="0F92617C" w14:textId="313ADBC2"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2"/>
                <w:szCs w:val="12"/>
              </w:rPr>
              <w:t xml:space="preserve"/>
            </w:r>
          </w:p>
        </w:tc>
        <w:tc>
          <w:tcPr>
            <w:tcW w:w="1426" w:type="dxa"/>
            <w:tcMar>
              <w:top w:w="55" w:type="dxa"/>
              <w:left w:w="55" w:type="dxa"/>
              <w:bottom w:w="55" w:type="dxa"/>
              <w:right w:w="55" w:type="dxa"/>
            </w:tcMar>
          </w:tcPr>
          <w:p w14:paraId="7DB27EC7" w14:textId="41813EBF"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4"/>
                <w:szCs w:val="14"/>
              </w:rPr>
              <w:t xml:space="preserve"/>
            </w:r>
          </w:p>
        </w:tc>
      </w:tr>
      <w:tr w:rsidR="005D622A" w14:paraId="43B682FE" w14:textId="77777777" w:rsidTr="00E40EE0">
        <w:trPr>
          <w:trHeight w:val="518"/>
        </w:trPr>
        <w:tc>
          <w:tcPr>
            <w:tcW w:w="1424" w:type="dxa"/>
            <w:tcMar>
              <w:top w:w="55" w:type="dxa"/>
              <w:left w:w="55" w:type="dxa"/>
              <w:bottom w:w="55" w:type="dxa"/>
              <w:right w:w="55" w:type="dxa"/>
            </w:tcMar>
          </w:tcPr>
          <w:p w14:paraId="773CEC98" w14:textId="70C04EC8" w:rsidR="005D622A" w:rsidRPr="00875DE7" w:rsidRDefault="00875DE7">
            <w:pPr>
              <w:tabs>
                <w:tab w:val="left" w:pos="438"/>
              </w:tabs>
              <w:ind w:right="57"/>
              <w:rPr>
                <w:rFonts w:ascii="Calibri" w:eastAsia="Calibri" w:hAnsi="Calibri" w:cs="Calibri"/>
                <w:b/>
                <w:color w:val="EE0000"/>
                <w:sz w:val="22"/>
                <w:szCs w:val="22"/>
              </w:rPr>
            </w:pPr>
            <w:r w:rsidRPr="00875DE7">
              <w:rPr>
                <w:rFonts w:ascii="Calibri" w:eastAsia="Calibri" w:hAnsi="Calibri" w:cs="Calibri"/>
                <w:b/>
                <w:color w:val="EE0000"/>
                <w:sz w:val="20"/>
                <w:szCs w:val="20"/>
              </w:rPr>
              <w:t xml:space="preserve">3</w:t>
            </w:r>
          </w:p>
        </w:tc>
        <w:tc>
          <w:tcPr>
            <w:tcW w:w="1426" w:type="dxa"/>
            <w:tcMar>
              <w:top w:w="55" w:type="dxa"/>
              <w:left w:w="55" w:type="dxa"/>
              <w:bottom w:w="55" w:type="dxa"/>
              <w:right w:w="55" w:type="dxa"/>
            </w:tcMar>
          </w:tcPr>
          <w:p w14:paraId="774D7F72" w14:textId="7630F9E2"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8"/>
                <w:szCs w:val="18"/>
              </w:rPr>
              <w:t xml:space="preserve">0007083</w:t>
            </w:r>
          </w:p>
        </w:tc>
        <w:tc>
          <w:tcPr>
            <w:tcW w:w="1426" w:type="dxa"/>
            <w:gridSpan w:val="2"/>
            <w:tcMar>
              <w:top w:w="55" w:type="dxa"/>
              <w:left w:w="55" w:type="dxa"/>
              <w:bottom w:w="55" w:type="dxa"/>
              <w:right w:w="55" w:type="dxa"/>
            </w:tcMar>
          </w:tcPr>
          <w:p w14:paraId="731F3EE8" w14:textId="24DE244E"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10BD4C49" w14:textId="708459DD"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2"/>
                <w:szCs w:val="22"/>
              </w:rPr>
              <w:t xml:space="preserve">3</w:t>
            </w:r>
          </w:p>
        </w:tc>
        <w:tc>
          <w:tcPr>
            <w:tcW w:w="1426" w:type="dxa"/>
            <w:gridSpan w:val="2"/>
            <w:tcMar>
              <w:top w:w="55" w:type="dxa"/>
              <w:left w:w="55" w:type="dxa"/>
              <w:bottom w:w="55" w:type="dxa"/>
              <w:right w:w="55" w:type="dxa"/>
            </w:tcMar>
          </w:tcPr>
          <w:p w14:paraId="492445B1" w14:textId="7DFF0C5B"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4"/>
                <w:szCs w:val="14"/>
              </w:rPr>
              <w:t xml:space="preserve">TECLADO E MOUSE - COR: PRETO; CONEXÃO: USB; LARGURA: 22 CM; COMPRIMENTO CABO: 1.5 M; ALTURA: 12CM; QUANTIDADE DE TECLAS: 18 TECLAS; MODELO: NUMÉRICO.</w:t>
            </w:r>
          </w:p>
        </w:tc>
        <w:tc>
          <w:tcPr>
            <w:tcW w:w="1426" w:type="dxa"/>
            <w:gridSpan w:val="2"/>
            <w:tcMar>
              <w:top w:w="55" w:type="dxa"/>
              <w:left w:w="55" w:type="dxa"/>
              <w:bottom w:w="55" w:type="dxa"/>
              <w:right w:w="55" w:type="dxa"/>
            </w:tcMar>
          </w:tcPr>
          <w:p w14:paraId="0F92617C" w14:textId="313ADBC2"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2"/>
                <w:szCs w:val="12"/>
              </w:rPr>
              <w:t xml:space="preserve"/>
            </w:r>
          </w:p>
        </w:tc>
        <w:tc>
          <w:tcPr>
            <w:tcW w:w="1426" w:type="dxa"/>
            <w:tcMar>
              <w:top w:w="55" w:type="dxa"/>
              <w:left w:w="55" w:type="dxa"/>
              <w:bottom w:w="55" w:type="dxa"/>
              <w:right w:w="55" w:type="dxa"/>
            </w:tcMar>
          </w:tcPr>
          <w:p w14:paraId="7DB27EC7" w14:textId="41813EBF"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4"/>
                <w:szCs w:val="14"/>
              </w:rPr>
              <w:t xml:space="preserve"/>
            </w:r>
          </w:p>
        </w:tc>
      </w:tr>
      <w:tr w:rsidR="005D622A" w14:paraId="3DA01DA6" w14:textId="77777777" w:rsidTr="00E40EE0">
        <w:trPr>
          <w:trHeight w:val="518"/>
        </w:trPr>
        <w:tc>
          <w:tcPr>
            <w:tcW w:w="9980" w:type="dxa"/>
            <w:gridSpan w:val="11"/>
            <w:tcMar>
              <w:top w:w="55" w:type="dxa"/>
              <w:left w:w="55" w:type="dxa"/>
              <w:bottom w:w="55" w:type="dxa"/>
              <w:right w:w="55" w:type="dxa"/>
            </w:tcMar>
          </w:tcPr>
          <w:p w14:paraId="71833926"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DESCRIÇÃO DA SOLUÇÃO COMO UM TODO, INCLUSIVE DAS EXIGÊNCIAS RELACIONADAS À GARANTIA, MANUTENÇÃO E À ASSISTÊNCIA TÉCNICA, QUANDO FOR O CASO (art. 35, inciso VII do D1525/2022)</w:t>
            </w:r>
          </w:p>
          <w:p w14:paraId="52345B51" w14:textId="3A2163CA" w:rsidR="005D622A" w:rsidRDefault="0033074C">
            <w:pPr>
              <w:numPr>
                <w:ilvl w:val="1"/>
                <w:numId w:val="1"/>
              </w:numPr>
              <w:ind w:left="0" w:right="57" w:firstLine="0"/>
              <w:jc w:val="both"/>
              <w:rPr>
                <w:sz w:val="22"/>
                <w:szCs w:val="22"/>
              </w:rPr>
            </w:pPr>
            <w:r w:rsidRPr="0033074C">
              <w:rPr>
                <w:rFonts w:ascii="Calibri" w:eastAsia="Calibri" w:hAnsi="Calibri" w:cs="Calibri"/>
                <w:color w:val="FF0000"/>
                <w:sz w:val="22"/>
                <w:szCs w:val="22"/>
              </w:rPr>
              <w:t xml:space="preserve">Sem descrição prévia</w:t>
            </w:r>
          </w:p>
        </w:tc>
      </w:tr>
      <w:tr w:rsidR="005D622A" w14:paraId="5D1747F8" w14:textId="77777777" w:rsidTr="00E40EE0">
        <w:trPr>
          <w:trHeight w:val="518"/>
        </w:trPr>
        <w:tc>
          <w:tcPr>
            <w:tcW w:w="9980" w:type="dxa"/>
            <w:gridSpan w:val="11"/>
            <w:tcMar>
              <w:top w:w="55" w:type="dxa"/>
              <w:left w:w="55" w:type="dxa"/>
              <w:bottom w:w="55" w:type="dxa"/>
              <w:right w:w="55" w:type="dxa"/>
            </w:tcMar>
          </w:tcPr>
          <w:p w14:paraId="429E405F"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JUSTIFICATIVAS PARA O PARCELAMENTO OU NÃO DA SOLUÇÃO (art. 35, inciso VIII do D1525/2022)</w:t>
            </w:r>
          </w:p>
          <w:p w14:paraId="4C1858E6" w14:textId="576D555B" w:rsidR="005D622A" w:rsidRDefault="0033074C">
            <w:pPr>
              <w:numPr>
                <w:ilvl w:val="1"/>
                <w:numId w:val="1"/>
              </w:numPr>
              <w:ind w:left="0" w:right="57" w:firstLine="0"/>
              <w:jc w:val="both"/>
              <w:rPr>
                <w:sz w:val="22"/>
                <w:szCs w:val="22"/>
              </w:rPr>
            </w:pPr>
            <w:r w:rsidRPr="0033074C">
              <w:rPr>
                <w:rFonts w:ascii="Calibri" w:eastAsia="Calibri" w:hAnsi="Calibri" w:cs="Calibri"/>
                <w:color w:val="FF0000"/>
                <w:sz w:val="22"/>
                <w:szCs w:val="22"/>
              </w:rPr>
              <w:t xml:space="preserve">sem justificativa previa</w:t>
            </w:r>
          </w:p>
        </w:tc>
      </w:tr>
      <w:tr w:rsidR="005D622A" w14:paraId="548D9EB8" w14:textId="77777777" w:rsidTr="00E40EE0">
        <w:trPr>
          <w:trHeight w:val="518"/>
        </w:trPr>
        <w:tc>
          <w:tcPr>
            <w:tcW w:w="9980" w:type="dxa"/>
            <w:gridSpan w:val="11"/>
            <w:tcMar>
              <w:top w:w="55" w:type="dxa"/>
              <w:left w:w="55" w:type="dxa"/>
              <w:bottom w:w="55" w:type="dxa"/>
              <w:right w:w="55" w:type="dxa"/>
            </w:tcMar>
          </w:tcPr>
          <w:p w14:paraId="6130DBD2"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DEMONSTRATIVO DOS RESULTADOS PRETENDIDOS, EM TERMOS DE ECONOMICIDADE E DE MELHOR APROVEITAMENTO DOS RECURSOS HUMANOS, MATERIAIS E FINANCEIROS DISPONÍVEIS (art. 35, inciso IX do D1525/2022)</w:t>
            </w:r>
          </w:p>
          <w:p w14:paraId="2A6DE241" w14:textId="1ECDFB79" w:rsidR="005D622A" w:rsidRDefault="0033074C">
            <w:pPr>
              <w:numPr>
                <w:ilvl w:val="1"/>
                <w:numId w:val="1"/>
              </w:numPr>
              <w:pBdr>
                <w:top w:val="nil"/>
                <w:left w:val="nil"/>
                <w:bottom w:val="nil"/>
                <w:right w:val="nil"/>
                <w:between w:val="nil"/>
              </w:pBdr>
              <w:ind w:left="0" w:right="57" w:firstLine="0"/>
              <w:jc w:val="both"/>
              <w:rPr>
                <w:rFonts w:ascii="Arial" w:eastAsia="Arial" w:hAnsi="Arial" w:cs="Arial"/>
              </w:rPr>
            </w:pPr>
            <w:r w:rsidRPr="0033074C">
              <w:rPr>
                <w:rFonts w:ascii="Calibri" w:eastAsia="Calibri" w:hAnsi="Calibri" w:cs="Calibri"/>
                <w:color w:val="FF0000"/>
                <w:sz w:val="22"/>
                <w:szCs w:val="22"/>
              </w:rPr>
              <w:t xml:space="preserve">Baseado na finalidade geral, os resultados pretendidos para o ETP (Esquema de Trabalho Planejado) podem ser descritos da seguinte forma:</w:t>
              <w:br/>
              <w:t xml:space="preserve"/>
              <w:br/>
              <w:t xml:space="preserve">**Economicidade:**</w:t>
              <w:br/>
              <w:t xml:space="preserve"/>
              <w:br/>
              <w:t xml:space="preserve">1. **Redução de custos**: O ETP deve promover a redução dos custos associados à aquisição de materiais de consumo (itens de informática) para o Departamento Estadual de Trânsito de Mato Grosso, garantindo que os recursos financeiros sejam utilizados de forma eficiente e racional.</w:t>
              <w:br/>
              <w:t xml:space="preserve">2. **Melhoria da gestão de estoques**: O ETP deve estabelecer um sistema de gerenciamento de estoques eficaz, evitando a perda ou desperdício de materiais, e garantindo que os recursos sejam utilizados de forma adequada.</w:t>
              <w:br/>
              <w:t xml:space="preserve">3. **Optimização dos processos**: O ETP deve identificar e implementar processos mais eficientes para aquisição e gestão de materiais de consumo, reduzindo o tempo e os custos associados à entrega de novos materiais.</w:t>
              <w:br/>
              <w:t xml:space="preserve"/>
              <w:br/>
              <w:t xml:space="preserve">**Melhor aproveitamento dos recursos humanos:**</w:t>
              <w:br/>
              <w:t xml:space="preserve"/>
              <w:br/>
              <w:t xml:space="preserve">1. **Desenvolvimento da equipe**: O ETP deve fornecer treinamento e desenvolvimento para a equipe responsável pela gestão de materiais de consumo, garantindo que eles possuam as habilidades e conhecimentos necessários para realizar suas funções de forma eficaz.</w:t>
              <w:br/>
              <w:t xml:space="preserve">2. **Redistribuição de tarefas**: O ETP deve analisar as rotinas atuais da equipe e redistribuir as tarefas de forma mais eficiente, reduzindo o estresse e a sobrecarga dos funcionários.</w:t>
              <w:br/>
              <w:t xml:space="preserve">3. **Melhoria da comunicação**: O ETP deve estabelecer canais de comunicação eficazes entre os departamentos e equipes envolvidas na gestão de materiais de consumo, garantindo que as informações sejam compartilhadas de forma clara e precisa.</w:t>
              <w:br/>
              <w:t xml:space="preserve"/>
              <w:br/>
              <w:t xml:space="preserve">**Melhor aproveitamento dos recursos financeiros:**</w:t>
              <w:br/>
              <w:t xml:space="preserve"/>
              <w:br/>
              <w:t xml:space="preserve">1. **Ajuste orçamentário**: O ETP deve realizar um ajuste orçamentário para garantir que os recursos financeiros sejam utilizados de forma eficiente e racional, priorizando as necessidades mais críticas do Departamento Estadual de Trânsito de Mato Grosso.</w:t>
              <w:br/>
              <w:t xml:space="preserve">2. **Investimento em tecnologia**: O ETP deve investir em tecnologias que melhorem a gestão de materiais de consumo, reduzindo os custos e aumentando a eficiência da equipe.</w:t>
              <w:br/>
              <w:t xml:space="preserve">3. **Gestão de riscos**: O ETP deve identificar e gerenciar os riscos financeiros associados à aquisição de materiais de consumo, garantindo que as decisões sejam tomadas com base em dados precisos e informados.</w:t>
              <w:br/>
              <w:t xml:space="preserve"/>
              <w:br/>
              <w:t xml:space="preserve">Em resumo, o ETP deve ser planejado para atingir resultados que promovam a economicidade, melhor aproveitamento dos recursos humanos e financeiros disponíveis, garantindo que os objetivos do Departamento Estadual de Trânsito de Mato Grosso sejam alcançados de forma eficaz e eficiente.</w:t>
            </w:r>
          </w:p>
        </w:tc>
      </w:tr>
      <w:tr w:rsidR="005D622A" w14:paraId="29AA002D" w14:textId="77777777" w:rsidTr="00E40EE0">
        <w:trPr>
          <w:trHeight w:val="518"/>
        </w:trPr>
        <w:tc>
          <w:tcPr>
            <w:tcW w:w="9980" w:type="dxa"/>
            <w:gridSpan w:val="11"/>
            <w:tcMar>
              <w:top w:w="55" w:type="dxa"/>
              <w:left w:w="55" w:type="dxa"/>
              <w:bottom w:w="55" w:type="dxa"/>
              <w:right w:w="55" w:type="dxa"/>
            </w:tcMar>
          </w:tcPr>
          <w:p w14:paraId="580EE125"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PROVIDÊNCIAS A SEREM ADOTADAS PELA ADMINISTRAÇÃO PREVIAMENTE À CELEBRAÇÃO DO CONTRATO, INCLUSIVE QUANTO À CAPACITAÇÃO DE SERVIDORES OU DE EMPREGADOS PARA FISCALIZAÇÃO E GESTÃO CONTRATUAL (art. 35, inciso X do D1525/2022)</w:t>
            </w:r>
          </w:p>
          <w:p w14:paraId="4DE01C49" w14:textId="7FA8C03F" w:rsidR="005D622A" w:rsidRDefault="00875DE7">
            <w:pPr>
              <w:numPr>
                <w:ilvl w:val="1"/>
                <w:numId w:val="1"/>
              </w:numPr>
              <w:ind w:right="57"/>
              <w:jc w:val="both"/>
              <w:rPr>
                <w:rFonts w:ascii="Arial" w:eastAsia="Arial" w:hAnsi="Arial" w:cs="Arial"/>
              </w:rPr>
            </w:pPr>
            <w:r w:rsidRPr="00875DE7">
              <w:rPr>
                <w:rFonts w:ascii="Calibri" w:eastAsia="Calibri" w:hAnsi="Calibri" w:cs="Calibri"/>
                <w:color w:val="FF0000"/>
                <w:sz w:val="22"/>
                <w:szCs w:val="22"/>
              </w:rPr>
              <w:t xml:space="preserve">sem pendencias previas</w:t>
            </w:r>
          </w:p>
        </w:tc>
      </w:tr>
      <w:tr w:rsidR="005D622A" w14:paraId="7CD7F5F5" w14:textId="77777777" w:rsidTr="00E40EE0">
        <w:trPr>
          <w:trHeight w:val="518"/>
        </w:trPr>
        <w:tc>
          <w:tcPr>
            <w:tcW w:w="9980" w:type="dxa"/>
            <w:gridSpan w:val="11"/>
            <w:tcMar>
              <w:top w:w="55" w:type="dxa"/>
              <w:left w:w="55" w:type="dxa"/>
              <w:bottom w:w="55" w:type="dxa"/>
              <w:right w:w="55" w:type="dxa"/>
            </w:tcMar>
          </w:tcPr>
          <w:p w14:paraId="79D58826"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CONTRATAÇÕES CORRELATAS E/OU INTERDEPENDENTES (art. 35, inciso XI do D1525/2022)</w:t>
            </w:r>
          </w:p>
          <w:p w14:paraId="0FD516CA" w14:textId="0B55CE41" w:rsidR="005D622A" w:rsidRDefault="00875DE7">
            <w:pPr>
              <w:numPr>
                <w:ilvl w:val="1"/>
                <w:numId w:val="1"/>
              </w:numPr>
              <w:ind w:right="57"/>
              <w:jc w:val="both"/>
              <w:rPr>
                <w:rFonts w:ascii="Arial" w:eastAsia="Arial" w:hAnsi="Arial" w:cs="Arial"/>
              </w:rPr>
            </w:pPr>
            <w:r w:rsidRPr="00875DE7">
              <w:rPr>
                <w:rFonts w:ascii="Calibri" w:eastAsia="Calibri" w:hAnsi="Calibri" w:cs="Calibri"/>
                <w:color w:val="FF0000"/>
                <w:sz w:val="22"/>
                <w:szCs w:val="22"/>
              </w:rPr>
              <w:t xml:space="preserve">sem contratações previas</w:t>
            </w:r>
          </w:p>
        </w:tc>
      </w:tr>
      <w:tr w:rsidR="005D622A" w14:paraId="1F06EB35" w14:textId="77777777" w:rsidTr="00E40EE0">
        <w:trPr>
          <w:trHeight w:val="518"/>
        </w:trPr>
        <w:tc>
          <w:tcPr>
            <w:tcW w:w="9980" w:type="dxa"/>
            <w:gridSpan w:val="11"/>
            <w:tcMar>
              <w:top w:w="55" w:type="dxa"/>
              <w:left w:w="55" w:type="dxa"/>
              <w:bottom w:w="55" w:type="dxa"/>
              <w:right w:w="55" w:type="dxa"/>
            </w:tcMar>
          </w:tcPr>
          <w:p w14:paraId="0403A926"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DESCRIÇÃO DE POSSÍVEIS IMPACTOS AMBIENTAIS E RESPECTIVAS MEDIDAS MITIGADORAS, INCLUÍDOS REQUISITOS DE BAIXO CONSUMO DE ENERGIA E DE OUTROS RECURSOS, BEM COMO LOGÍSTICA REVERSA PARA DESFAZIMENTO E RECICLAGEM DE BENS E REFUGOS, QUANDO APLICÁVEL (art. 35, inciso XII do D1525/2022)</w:t>
            </w:r>
          </w:p>
          <w:p w14:paraId="1B7CD513" w14:textId="7504E0DC" w:rsidR="005D622A" w:rsidRDefault="00875DE7">
            <w:pPr>
              <w:numPr>
                <w:ilvl w:val="1"/>
                <w:numId w:val="1"/>
              </w:numPr>
              <w:ind w:right="57"/>
              <w:jc w:val="both"/>
              <w:rPr>
                <w:rFonts w:ascii="Arial" w:eastAsia="Arial" w:hAnsi="Arial" w:cs="Arial"/>
              </w:rPr>
            </w:pPr>
            <w:r w:rsidRPr="00875DE7">
              <w:rPr>
                <w:rFonts w:ascii="Calibri" w:eastAsia="Calibri" w:hAnsi="Calibri" w:cs="Calibri"/>
                <w:color w:val="FF0000"/>
                <w:sz w:val="22"/>
                <w:szCs w:val="22"/>
              </w:rPr>
              <w:t xml:space="preserve">**Descrição de Possíveis Impactos Ambientais**</w:t>
              <w:br/>
              <w:t xml:space="preserve"/>
              <w:br/>
              <w:t xml:space="preserve">A implementação da presente atividade é prevista causar alguns impactos ambientais, que devem ser minimizados e gerenciados de forma eficaz. A seguir, estão descritos os possíveis impactos ambientais associados à nossa atividade:</w:t>
              <w:br/>
              <w:t xml:space="preserve"/>
              <w:br/>
              <w:t xml:space="preserve">**Impactos previstos:**</w:t>
              <w:br/>
              <w:t xml:space="preserve"/>
              <w:br/>
              <w:t xml:space="preserve">1. **Emissões de gases de efeito estufa**: A produção e transporte de materiais podem liberar gases de efeito estufa, contribuindo para o aquecimento global.</w:t>
              <w:br/>
              <w:t xml:space="preserve">2. **Poluição sonora**: O funcionamento de máquinas e equipamentos pode gerar ruído que pode afetar a qualidade do ambiente.</w:t>
              <w:br/>
              <w:t xml:space="preserve">3. **Dejetos sólidos**: A produção e uso de materiais podem gerar resíduos, que precisam ser adequadamente tratados e descartados.</w:t>
              <w:br/>
              <w:t xml:space="preserve">4. **Uso de recursos naturais**: A atividade requer o uso de água, energia elétrica e materiais, que devem ser utilizados de forma eficiente e sustentável.</w:t>
              <w:br/>
              <w:t xml:space="preserve"/>
              <w:br/>
              <w:t xml:space="preserve">**Medidas mitigadoras:**</w:t>
              <w:br/>
              <w:t xml:space="preserve"/>
              <w:br/>
              <w:t xml:space="preserve">Para minimizar esses impactos ambientais, vamos implementar as seguintes medidas:</w:t>
              <w:br/>
              <w:t xml:space="preserve"/>
              <w:br/>
              <w:t xml:space="preserve">1. **Uso de fontes renováveis**: Vamos priorizar o uso de energia elétrica gerada a partir de fontes renováveis, como solar e eólica.</w:t>
              <w:br/>
              <w:t xml:space="preserve">2. **Redução de emissões**: Vamos reduzir as emissões de gases de efeito estufa por meio da eficiência energética e do uso de tecnologias limpas.</w:t>
              <w:br/>
              <w:t xml:space="preserve">3. **Logística reversa**: Vamos implementar um sistema de logística reversa para reciclar e reutilizar materiais, reduzindo a quantidade de resíduos.</w:t>
              <w:br/>
              <w:t xml:space="preserve">4. **Controle de ruído**: Vamos implementar medidas para controlar o nível de ruído gerado pela atividade, garantindo que ele não ultrapasse os limites estabelecidos pelas autoridades ambientais.</w:t>
              <w:br/>
              <w:t xml:space="preserve"/>
              <w:br/>
              <w:t xml:space="preserve">**Requisitos de baixo consumo:**</w:t>
              <w:br/>
              <w:t xml:space="preserve"/>
              <w:br/>
              <w:t xml:space="preserve">Para minimizar o impacto ambiental da nossa atividade, vamos implementar os seguintes requisitos de baixo consumo:</w:t>
              <w:br/>
              <w:t xml:space="preserve"/>
              <w:br/>
              <w:t xml:space="preserve">1. **Uso eficiente de água**: Vamos reduzir o uso de água por meio do uso de sistemas de tratamento de água e da implementação de práticas de conservação.</w:t>
              <w:br/>
              <w:t xml:space="preserve">2. **Energia eficiente**: Vamos utilizar equipamentos e máquinas que consigam energia de forma eficiente, reduzindo a quantidade de energia necessária para operar.</w:t>
              <w:br/>
              <w:t xml:space="preserve">3. **Materiais sustentáveis**: Vamos priorizar o uso de materiais sustentáveis e reciclados, reduzindo a quantidade de resíduos gerados.</w:t>
              <w:br/>
              <w:t xml:space="preserve"/>
              <w:br/>
              <w:t xml:space="preserve">**Logística reversa:**</w:t>
              <w:br/>
              <w:t xml:space="preserve"/>
              <w:br/>
              <w:t xml:space="preserve">Vamos implementar um sistema de logística reversa que permita:</w:t>
              <w:br/>
              <w:t xml:space="preserve"/>
              <w:br/>
              <w:t xml:space="preserve">1. **Reciclo de materiais**: Reciclar materiais para reduzir a quantidade de resíduos e minimizar o impacto ambiental.</w:t>
              <w:br/>
              <w:t xml:space="preserve">2. **Reutilização de materiais**: Reutilizar materiais para reduzir a necessidade de produção de novos materiais e minimizar o impacto ambiental.</w:t>
              <w:br/>
              <w:t xml:space="preserve">3. **Descarte adequado**: Descartar adequadamente os resíduos que não podem ser reciclados ou reutilizados, garantindo que eles sejam tratados de forma segura e ambientalmente responsável.</w:t>
              <w:br/>
              <w:t xml:space="preserve"/>
              <w:br/>
              <w:t xml:space="preserve">Ao implementar essas medidas mitigadoras, requisitos de baixo consumo e logística reversa, vamos minimizar o impacto ambiental da nossa atividade e contribuir para um futuro mais sustentável.</w:t>
            </w:r>
          </w:p>
        </w:tc>
      </w:tr>
      <w:tr w:rsidR="005D622A" w14:paraId="72715F84" w14:textId="77777777" w:rsidTr="00E40EE0">
        <w:trPr>
          <w:trHeight w:val="518"/>
        </w:trPr>
        <w:tc>
          <w:tcPr>
            <w:tcW w:w="9980" w:type="dxa"/>
            <w:gridSpan w:val="11"/>
            <w:tcMar>
              <w:top w:w="55" w:type="dxa"/>
              <w:left w:w="55" w:type="dxa"/>
              <w:bottom w:w="55" w:type="dxa"/>
              <w:right w:w="55" w:type="dxa"/>
            </w:tcMar>
          </w:tcPr>
          <w:p w14:paraId="677A17A9"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POSICIONAMENTO CONCLUSIVO SOBRE A ADEQUAÇÃO DA CONTRATAÇÃO PARA O ATENDIMENTO DA NECESSIDADE A QUE SE DESTINA (art. 35, inciso XIII do D1525/2022)</w:t>
            </w:r>
          </w:p>
          <w:p w14:paraId="51EA8C34" w14:textId="77777777" w:rsidR="005D622A" w:rsidRDefault="00C55F56">
            <w:pPr>
              <w:numPr>
                <w:ilvl w:val="1"/>
                <w:numId w:val="1"/>
              </w:numPr>
              <w:pBdr>
                <w:top w:val="nil"/>
                <w:left w:val="nil"/>
                <w:bottom w:val="nil"/>
                <w:right w:val="nil"/>
                <w:between w:val="nil"/>
              </w:pBdr>
              <w:ind w:left="0" w:right="57" w:firstLine="0"/>
              <w:jc w:val="both"/>
            </w:pPr>
            <w:r>
              <w:rPr>
                <w:rFonts w:ascii="Calibri" w:eastAsia="Calibri" w:hAnsi="Calibri" w:cs="Calibri"/>
                <w:color w:val="FF0000"/>
                <w:sz w:val="22"/>
                <w:szCs w:val="22"/>
              </w:rPr>
              <w:t xml:space="preserve">Declaro esta contratação com base neste Estudo Técnico Preliminar, consoante ao Art. 18, inciso I, e </w:t>
            </w:r>
            <w:r>
              <w:rPr>
                <w:rFonts w:ascii="Calibri" w:eastAsia="Calibri" w:hAnsi="Calibri" w:cs="Calibri"/>
                <w:color w:val="FF0000"/>
                <w:sz w:val="22"/>
                <w:szCs w:val="22"/>
              </w:rPr>
              <w:lastRenderedPageBreak/>
              <w:t xml:space="preserve">§1º, incisos I a XIII, do mesmo artigo, da Lei Federal de Licitações nº 14.133, de 1º de abril de 2021. </w:t>
            </w:r>
          </w:p>
          <w:p w14:paraId="2E11909E" w14:textId="77777777" w:rsidR="005D622A" w:rsidRDefault="00C55F56">
            <w:pPr>
              <w:ind w:right="57"/>
              <w:jc w:val="both"/>
              <w:rPr>
                <w:rFonts w:ascii="Calibri" w:eastAsia="Calibri" w:hAnsi="Calibri" w:cs="Calibri"/>
                <w:sz w:val="22"/>
                <w:szCs w:val="22"/>
              </w:rPr>
            </w:pPr>
            <w:r>
              <w:rPr>
                <w:rFonts w:ascii="Calibri" w:eastAsia="Calibri" w:hAnsi="Calibri" w:cs="Calibri"/>
                <w:color w:val="FF0000"/>
                <w:sz w:val="22"/>
                <w:szCs w:val="22"/>
              </w:rPr>
              <w:t>(  ) É VIÁVEL a presente contratação.</w:t>
            </w:r>
          </w:p>
          <w:p w14:paraId="72E5BC30" w14:textId="77777777" w:rsidR="005D622A" w:rsidRDefault="00C55F56">
            <w:pPr>
              <w:ind w:right="57"/>
              <w:jc w:val="both"/>
              <w:rPr>
                <w:rFonts w:ascii="Calibri" w:eastAsia="Calibri" w:hAnsi="Calibri" w:cs="Calibri"/>
                <w:b/>
                <w:sz w:val="22"/>
                <w:szCs w:val="22"/>
              </w:rPr>
            </w:pPr>
            <w:r>
              <w:rPr>
                <w:rFonts w:ascii="Calibri" w:eastAsia="Calibri" w:hAnsi="Calibri" w:cs="Calibri"/>
                <w:color w:val="FF0000"/>
                <w:sz w:val="22"/>
                <w:szCs w:val="22"/>
              </w:rPr>
              <w:t>(  ) NÃO É VIÁVEL a presente contratação.</w:t>
            </w:r>
          </w:p>
        </w:tc>
      </w:tr>
      <w:tr w:rsidR="005D622A" w14:paraId="28097C5A" w14:textId="77777777" w:rsidTr="00E40EE0">
        <w:trPr>
          <w:trHeight w:val="518"/>
        </w:trPr>
        <w:tc>
          <w:tcPr>
            <w:tcW w:w="9980" w:type="dxa"/>
            <w:gridSpan w:val="11"/>
            <w:tcMar>
              <w:top w:w="55" w:type="dxa"/>
              <w:left w:w="55" w:type="dxa"/>
              <w:bottom w:w="55" w:type="dxa"/>
              <w:right w:w="55" w:type="dxa"/>
            </w:tcMar>
          </w:tcPr>
          <w:p w14:paraId="026A425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lastRenderedPageBreak/>
              <w:t>LEGISLAÇÃO/FONTES</w:t>
            </w:r>
          </w:p>
          <w:p w14:paraId="417EDE8A" w14:textId="77777777" w:rsidR="005D622A" w:rsidRDefault="00C55F56">
            <w:pPr>
              <w:numPr>
                <w:ilvl w:val="1"/>
                <w:numId w:val="1"/>
              </w:numPr>
              <w:ind w:left="0" w:right="57" w:firstLine="0"/>
              <w:jc w:val="both"/>
              <w:rPr>
                <w:sz w:val="22"/>
                <w:szCs w:val="22"/>
              </w:rPr>
            </w:pPr>
            <w:r>
              <w:rPr>
                <w:rFonts w:ascii="Calibri" w:eastAsia="Calibri" w:hAnsi="Calibri" w:cs="Calibri"/>
                <w:sz w:val="22"/>
                <w:szCs w:val="22"/>
              </w:rPr>
              <w:t>Lei Federal nº 14.133/2021 - Lei de Licitações e Contratos Administrativos;</w:t>
            </w:r>
          </w:p>
          <w:p w14:paraId="3B2C280E" w14:textId="77777777" w:rsidR="005D622A" w:rsidRDefault="00C55F56">
            <w:pPr>
              <w:numPr>
                <w:ilvl w:val="1"/>
                <w:numId w:val="1"/>
              </w:numPr>
              <w:ind w:left="0" w:right="57" w:firstLine="0"/>
              <w:jc w:val="both"/>
              <w:rPr>
                <w:sz w:val="22"/>
                <w:szCs w:val="22"/>
              </w:rPr>
            </w:pPr>
            <w:r>
              <w:rPr>
                <w:rFonts w:ascii="Calibri" w:eastAsia="Calibri" w:hAnsi="Calibri" w:cs="Calibri"/>
                <w:sz w:val="22"/>
                <w:szCs w:val="22"/>
              </w:rPr>
              <w:t>Decreto Estadual nº 1.525/2022 - Regulamenta a Lei Federal nº 14.133/2021.</w:t>
            </w:r>
          </w:p>
        </w:tc>
      </w:tr>
      <w:tr w:rsidR="005D622A" w14:paraId="244BDC54" w14:textId="77777777" w:rsidTr="00E40EE0">
        <w:trPr>
          <w:trHeight w:val="518"/>
        </w:trPr>
        <w:tc>
          <w:tcPr>
            <w:tcW w:w="9980" w:type="dxa"/>
            <w:gridSpan w:val="11"/>
            <w:tcMar>
              <w:top w:w="55" w:type="dxa"/>
              <w:left w:w="55" w:type="dxa"/>
              <w:bottom w:w="55" w:type="dxa"/>
              <w:right w:w="55" w:type="dxa"/>
            </w:tcMar>
          </w:tcPr>
          <w:p w14:paraId="0EF4455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RESPONSÁVEL PELA ELABORAÇÃO/DATA DE TÉRMINO</w:t>
            </w:r>
          </w:p>
          <w:p w14:paraId="4C13E5E1" w14:textId="77777777" w:rsidR="005D622A" w:rsidRDefault="005D622A">
            <w:pPr>
              <w:ind w:right="57"/>
              <w:jc w:val="both"/>
              <w:rPr>
                <w:rFonts w:ascii="Calibri" w:eastAsia="Calibri" w:hAnsi="Calibri" w:cs="Calibri"/>
                <w:b/>
                <w:sz w:val="22"/>
                <w:szCs w:val="22"/>
              </w:rPr>
            </w:pPr>
          </w:p>
          <w:p w14:paraId="3266BE15" w14:textId="4B387C9D" w:rsidR="005D622A" w:rsidRDefault="00C55F56">
            <w:pPr>
              <w:ind w:right="57"/>
              <w:jc w:val="right"/>
              <w:rPr>
                <w:rFonts w:ascii="Calibri" w:eastAsia="Calibri" w:hAnsi="Calibri" w:cs="Calibri"/>
                <w:sz w:val="22"/>
                <w:szCs w:val="22"/>
              </w:rPr>
            </w:pPr>
            <w:r>
              <w:rPr>
                <w:rFonts w:ascii="Calibri" w:eastAsia="Calibri" w:hAnsi="Calibri" w:cs="Calibri"/>
                <w:sz w:val="22"/>
                <w:szCs w:val="22"/>
              </w:rPr>
              <w:t xml:space="preserve">Cuiabá-MT, </w:t>
            </w:r>
            <w:r w:rsidR="00875DE7" w:rsidRPr="00875DE7">
              <w:rPr>
                <w:rFonts w:ascii="Calibri" w:eastAsia="Calibri" w:hAnsi="Calibri" w:cs="Calibri"/>
                <w:color w:val="EE0000"/>
                <w:sz w:val="22"/>
                <w:szCs w:val="22"/>
              </w:rPr>
              <w:t xml:space="preserve">22 de September de 2025</w:t>
            </w:r>
            <w:r w:rsidRPr="00875DE7">
              <w:rPr>
                <w:rFonts w:ascii="Calibri" w:eastAsia="Calibri" w:hAnsi="Calibri" w:cs="Calibri"/>
                <w:sz w:val="22"/>
                <w:szCs w:val="22"/>
              </w:rPr>
              <w:t>.</w:t>
            </w:r>
          </w:p>
          <w:p w14:paraId="2A970133" w14:textId="477D8D06" w:rsidR="005D622A" w:rsidRDefault="00C55F56">
            <w:pPr>
              <w:ind w:right="57"/>
              <w:rPr>
                <w:rFonts w:ascii="Calibri" w:eastAsia="Calibri" w:hAnsi="Calibri" w:cs="Calibri"/>
                <w:b/>
                <w:sz w:val="22"/>
                <w:szCs w:val="22"/>
                <w:highlight w:val="yellow"/>
              </w:rPr>
            </w:pPr>
            <w:r>
              <w:rPr>
                <w:rFonts w:ascii="Calibri" w:eastAsia="Calibri" w:hAnsi="Calibri" w:cs="Calibri"/>
                <w:sz w:val="22"/>
                <w:szCs w:val="22"/>
              </w:rPr>
              <w:t>Elaborado por:</w:t>
            </w:r>
            <w:r>
              <w:rPr>
                <w:rFonts w:ascii="Calibri" w:eastAsia="Calibri" w:hAnsi="Calibri" w:cs="Calibri"/>
                <w:b/>
                <w:sz w:val="22"/>
                <w:szCs w:val="22"/>
              </w:rPr>
              <w:t xml:space="preserve"> </w:t>
            </w:r>
            <w:r w:rsidR="00875DE7" w:rsidRPr="00875DE7">
              <w:rPr>
                <w:rFonts w:ascii="Calibri" w:eastAsia="Calibri" w:hAnsi="Calibri" w:cs="Calibri"/>
                <w:b/>
                <w:color w:val="EE0000"/>
                <w:sz w:val="22"/>
                <w:szCs w:val="22"/>
              </w:rPr>
              <w:t xml:space="preserve">teste</w:t>
            </w:r>
          </w:p>
          <w:p w14:paraId="7E15C5A2" w14:textId="0E296D88" w:rsidR="005D622A" w:rsidRDefault="00C55F56">
            <w:pPr>
              <w:ind w:right="57"/>
              <w:rPr>
                <w:rFonts w:ascii="Calibri" w:eastAsia="Calibri" w:hAnsi="Calibri" w:cs="Calibri"/>
                <w:b/>
                <w:sz w:val="22"/>
                <w:szCs w:val="22"/>
                <w:highlight w:val="yellow"/>
              </w:rPr>
            </w:pPr>
            <w:bookmarkStart w:id="0" w:name="_heading=h.gjdgxs" w:colFirst="0" w:colLast="0"/>
            <w:bookmarkEnd w:id="0"/>
            <w:r>
              <w:rPr>
                <w:rFonts w:ascii="Calibri" w:eastAsia="Calibri" w:hAnsi="Calibri" w:cs="Calibri"/>
                <w:sz w:val="22"/>
                <w:szCs w:val="22"/>
              </w:rPr>
              <w:t xml:space="preserve">Matrícula: </w:t>
            </w:r>
            <w:r w:rsidR="00875DE7" w:rsidRPr="00875DE7">
              <w:rPr>
                <w:rFonts w:ascii="Calibri" w:eastAsia="Calibri" w:hAnsi="Calibri" w:cs="Calibri"/>
                <w:color w:val="EE0000"/>
                <w:sz w:val="22"/>
                <w:szCs w:val="22"/>
              </w:rPr>
              <w:t xml:space="preserve">112112</w:t>
            </w:r>
          </w:p>
        </w:tc>
      </w:tr>
    </w:tbl>
    <w:p w14:paraId="0D503B64" w14:textId="77777777" w:rsidR="005D622A" w:rsidRDefault="005D622A">
      <w:pPr>
        <w:rPr>
          <w:rFonts w:ascii="Calibri" w:eastAsia="Calibri" w:hAnsi="Calibri" w:cs="Calibri"/>
          <w:color w:val="000000"/>
          <w:sz w:val="22"/>
          <w:szCs w:val="22"/>
        </w:rPr>
      </w:pPr>
    </w:p>
    <w:sectPr w:rsidR="005D622A">
      <w:pgSz w:w="11906" w:h="16838"/>
      <w:pgMar w:top="1133" w:right="1134" w:bottom="794" w:left="1134" w:header="284"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C3D9B"/>
    <w:multiLevelType w:val="multilevel"/>
    <w:tmpl w:val="3F5E4AD2"/>
    <w:lvl w:ilvl="0">
      <w:start w:val="1"/>
      <w:numFmt w:val="decimal"/>
      <w:lvlText w:val="%1."/>
      <w:lvlJc w:val="left"/>
      <w:pPr>
        <w:ind w:left="360" w:hanging="360"/>
      </w:pPr>
      <w:rPr>
        <w:b/>
      </w:rPr>
    </w:lvl>
    <w:lvl w:ilvl="1">
      <w:start w:val="1"/>
      <w:numFmt w:val="decimal"/>
      <w:lvlText w:val="%1.%2."/>
      <w:lvlJc w:val="left"/>
      <w:pPr>
        <w:ind w:left="360" w:hanging="360"/>
      </w:pPr>
      <w:rPr>
        <w:rFonts w:ascii="Calibri" w:eastAsia="Calibri" w:hAnsi="Calibri" w:cs="Calibri"/>
        <w:b w:val="0"/>
        <w:sz w:val="22"/>
        <w:szCs w:val="22"/>
      </w:rPr>
    </w:lvl>
    <w:lvl w:ilvl="2">
      <w:start w:val="1"/>
      <w:numFmt w:val="decimal"/>
      <w:lvlText w:val="%1.%2.%3."/>
      <w:lvlJc w:val="left"/>
      <w:pPr>
        <w:ind w:left="720" w:hanging="720"/>
      </w:pPr>
      <w:rPr>
        <w:rFonts w:ascii="Calibri" w:eastAsia="Calibri" w:hAnsi="Calibri" w:cs="Calibri"/>
        <w:b w:val="0"/>
        <w:sz w:val="22"/>
        <w:szCs w:val="22"/>
      </w:rPr>
    </w:lvl>
    <w:lvl w:ilvl="3">
      <w:start w:val="1"/>
      <w:numFmt w:val="decimal"/>
      <w:lvlText w:val="%1.%2.%3.%4."/>
      <w:lvlJc w:val="left"/>
      <w:pPr>
        <w:ind w:left="720" w:hanging="720"/>
      </w:pPr>
      <w:rPr>
        <w:b w:val="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76B259BC"/>
    <w:multiLevelType w:val="multilevel"/>
    <w:tmpl w:val="8AEC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776888">
    <w:abstractNumId w:val="0"/>
  </w:num>
  <w:num w:numId="2" w16cid:durableId="642664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22A"/>
    <w:rsid w:val="000570FE"/>
    <w:rsid w:val="000F1E0A"/>
    <w:rsid w:val="0033074C"/>
    <w:rsid w:val="00484B7F"/>
    <w:rsid w:val="005D622A"/>
    <w:rsid w:val="00852446"/>
    <w:rsid w:val="00875DE7"/>
    <w:rsid w:val="008B167B"/>
    <w:rsid w:val="00954935"/>
    <w:rsid w:val="00992870"/>
    <w:rsid w:val="00AA2652"/>
    <w:rsid w:val="00C55F56"/>
    <w:rsid w:val="00CB659F"/>
    <w:rsid w:val="00E40EE0"/>
    <w:rsid w:val="00F132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27A2"/>
  <w15:docId w15:val="{BEEA5109-722B-4776-A318-C8925DA1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spacing w:before="240" w:after="120"/>
      <w:ind w:left="432" w:hanging="432"/>
      <w:outlineLvl w:val="0"/>
    </w:pPr>
    <w:rPr>
      <w:rFonts w:ascii="Arial" w:eastAsia="Arial" w:hAnsi="Arial" w:cs="Arial"/>
      <w:b/>
      <w:sz w:val="36"/>
      <w:szCs w:val="36"/>
    </w:rPr>
  </w:style>
  <w:style w:type="paragraph" w:styleId="Ttulo2">
    <w:name w:val="heading 2"/>
    <w:basedOn w:val="Normal"/>
    <w:next w:val="Normal"/>
    <w:pPr>
      <w:keepNext/>
      <w:spacing w:before="200" w:after="120"/>
      <w:ind w:left="576" w:hanging="576"/>
      <w:outlineLvl w:val="1"/>
    </w:pPr>
    <w:rPr>
      <w:rFonts w:ascii="Arial" w:eastAsia="Arial" w:hAnsi="Arial" w:cs="Arial"/>
      <w:b/>
      <w:sz w:val="32"/>
      <w:szCs w:val="32"/>
    </w:rPr>
  </w:style>
  <w:style w:type="paragraph" w:styleId="Ttulo3">
    <w:name w:val="heading 3"/>
    <w:basedOn w:val="Normal"/>
    <w:next w:val="Normal"/>
    <w:pPr>
      <w:keepNext/>
      <w:spacing w:before="140" w:after="120"/>
      <w:ind w:left="720" w:hanging="720"/>
      <w:outlineLvl w:val="2"/>
    </w:pPr>
    <w:rPr>
      <w:rFonts w:ascii="Arial" w:eastAsia="Arial" w:hAnsi="Arial" w:cs="Arial"/>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spacing w:before="240" w:after="120"/>
      <w:jc w:val="center"/>
    </w:pPr>
    <w:rPr>
      <w:rFonts w:ascii="Arial" w:eastAsia="Arial" w:hAnsi="Arial" w:cs="Arial"/>
      <w:b/>
      <w:sz w:val="56"/>
      <w:szCs w:val="56"/>
    </w:rPr>
  </w:style>
  <w:style w:type="paragraph" w:styleId="Subttulo">
    <w:name w:val="Subtitle"/>
    <w:basedOn w:val="Normal"/>
    <w:next w:val="Normal"/>
    <w:pPr>
      <w:keepNext/>
      <w:spacing w:before="60" w:after="120"/>
      <w:jc w:val="center"/>
    </w:pPr>
    <w:rPr>
      <w:rFonts w:ascii="Arial" w:eastAsia="Arial" w:hAnsi="Arial" w:cs="Arial"/>
      <w:sz w:val="36"/>
      <w:szCs w:val="36"/>
    </w:rPr>
  </w:style>
  <w:style w:type="table" w:customStyle="1" w:styleId="a">
    <w:basedOn w:val="TableNormal"/>
    <w:tblPr>
      <w:tblStyleRowBandSize w:val="1"/>
      <w:tblStyleColBandSize w:val="1"/>
      <w:tblCellMar>
        <w:left w:w="70" w:type="dxa"/>
        <w:right w:w="70" w:type="dxa"/>
      </w:tblCellMar>
    </w:tblPr>
  </w:style>
  <w:style w:type="paragraph" w:styleId="Pr-formataoHTML">
    <w:name w:val="HTML Preformatted"/>
    <w:basedOn w:val="Normal"/>
    <w:link w:val="Pr-formataoHTMLChar"/>
    <w:uiPriority w:val="99"/>
    <w:semiHidden/>
    <w:unhideWhenUsed/>
    <w:rsid w:val="00AA26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AA2652"/>
    <w:rPr>
      <w:rFonts w:ascii="Courier New" w:hAnsi="Courier New" w:cs="Courier New"/>
      <w:sz w:val="20"/>
      <w:szCs w:val="20"/>
    </w:rPr>
  </w:style>
  <w:style w:type="character" w:styleId="CdigoHTML">
    <w:name w:val="HTML Code"/>
    <w:basedOn w:val="Fontepargpadro"/>
    <w:uiPriority w:val="99"/>
    <w:semiHidden/>
    <w:unhideWhenUsed/>
    <w:rsid w:val="00AA26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87658">
      <w:marLeft w:val="0"/>
      <w:marRight w:val="0"/>
      <w:marTop w:val="0"/>
      <w:marBottom w:val="0"/>
      <w:divBdr>
        <w:top w:val="none" w:sz="0" w:space="0" w:color="auto"/>
        <w:left w:val="none" w:sz="0" w:space="0" w:color="auto"/>
        <w:bottom w:val="none" w:sz="0" w:space="0" w:color="auto"/>
        <w:right w:val="none" w:sz="0" w:space="0" w:color="auto"/>
      </w:divBdr>
      <w:divsChild>
        <w:div w:id="869999635">
          <w:marLeft w:val="0"/>
          <w:marRight w:val="0"/>
          <w:marTop w:val="0"/>
          <w:marBottom w:val="0"/>
          <w:divBdr>
            <w:top w:val="none" w:sz="0" w:space="0" w:color="auto"/>
            <w:left w:val="none" w:sz="0" w:space="0" w:color="auto"/>
            <w:bottom w:val="none" w:sz="0" w:space="0" w:color="auto"/>
            <w:right w:val="none" w:sz="0" w:space="0" w:color="auto"/>
          </w:divBdr>
          <w:divsChild>
            <w:div w:id="17557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0XuorL4vK/nFdcHZoqZ5QIfe5g==">CgMxLjAyCGguZ2pkZ3hzOAByITFVUEd0MWxuUUwxQzFCNm1wbU9JdU9qcU9FZjNzTnRmdw==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960</Words>
  <Characters>5185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 Freitas de Magalhaes</dc:creator>
  <cp:lastModifiedBy>Pedro Henrique Simoes da Silva</cp:lastModifiedBy>
  <cp:revision>8</cp:revision>
  <dcterms:created xsi:type="dcterms:W3CDTF">2025-06-09T18:54:00Z</dcterms:created>
  <dcterms:modified xsi:type="dcterms:W3CDTF">2025-08-08T12:55:00Z</dcterms:modified>
  <dc:description/>
  <dc:identifier/>
  <dc:language/>
  <dc:subject/>
  <dc:title/>
</cp:coreProperties>
</file>