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485D8A" w14:textId="77777777" w:rsidR="005D622A" w:rsidRDefault="005D622A">
      <w:pPr>
        <w:pBdr>
          <w:top w:val="nil"/>
          <w:left w:val="nil"/>
          <w:bottom w:val="nil"/>
          <w:right w:val="nil"/>
          <w:between w:val="nil"/>
        </w:pBdr>
        <w:spacing w:line="276" w:lineRule="auto"/>
        <w:rPr>
          <w:rFonts w:ascii="Arial" w:eastAsia="Arial" w:hAnsi="Arial" w:cs="Arial"/>
          <w:color w:val="000000"/>
          <w:sz w:val="22"/>
          <w:szCs w:val="22"/>
        </w:rPr>
      </w:pPr>
    </w:p>
    <w:tbl>
      <w:tblPr>
        <w:tblStyle w:val="a"/>
        <w:tblW w:w="998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24"/>
        <w:gridCol w:w="1426"/>
        <w:gridCol w:w="1279"/>
        <w:gridCol w:w="147"/>
        <w:gridCol w:w="753"/>
        <w:gridCol w:w="673"/>
        <w:gridCol w:w="744"/>
        <w:gridCol w:w="682"/>
        <w:gridCol w:w="1288"/>
        <w:gridCol w:w="138"/>
        <w:gridCol w:w="1426"/>
      </w:tblGrid>
      <w:tr w:rsidR="005D622A" w14:paraId="388ECF8F" w14:textId="77777777" w:rsidTr="00E40EE0">
        <w:trPr>
          <w:trHeight w:val="325"/>
        </w:trPr>
        <w:tc>
          <w:tcPr>
            <w:tcW w:w="9980" w:type="dxa"/>
            <w:gridSpan w:val="11"/>
            <w:vAlign w:val="center"/>
          </w:tcPr>
          <w:p w14:paraId="7C392D61" w14:textId="78582223" w:rsidR="005D622A" w:rsidRPr="00E40EE0" w:rsidRDefault="00C55F56" w:rsidP="00E40EE0">
            <w:pPr>
              <w:spacing w:before="120" w:after="120"/>
              <w:jc w:val="center"/>
              <w:rPr>
                <w:rFonts w:ascii="Calibri" w:eastAsia="Calibri" w:hAnsi="Calibri" w:cs="Calibri"/>
                <w:sz w:val="32"/>
                <w:szCs w:val="32"/>
                <w:highlight w:val="yellow"/>
              </w:rPr>
            </w:pPr>
            <w:r w:rsidRPr="00E40EE0">
              <w:rPr>
                <w:rFonts w:ascii="Calibri" w:eastAsia="Calibri" w:hAnsi="Calibri" w:cs="Calibri"/>
                <w:b/>
                <w:sz w:val="32"/>
                <w:szCs w:val="32"/>
              </w:rPr>
              <w:t xml:space="preserve">ESTUDO TÉCNICO PRELIMINAR Nº </w:t>
            </w:r>
            <w:proofErr w:type="gramStart"/>
            <w:r w:rsidR="0033074C" w:rsidRPr="0033074C">
              <w:rPr>
                <w:rFonts w:ascii="Calibri" w:eastAsia="Calibri" w:hAnsi="Calibri" w:cs="Calibri"/>
                <w:b/>
                <w:color w:val="EE0000"/>
                <w:sz w:val="32"/>
                <w:szCs w:val="32"/>
              </w:rPr>
              <w:t xml:space="preserve">003/2025</w:t>
            </w:r>
          </w:p>
        </w:tc>
      </w:tr>
      <w:tr w:rsidR="005D622A" w14:paraId="65AEF32A" w14:textId="77777777" w:rsidTr="00E40EE0">
        <w:trPr>
          <w:trHeight w:val="54"/>
        </w:trPr>
        <w:tc>
          <w:tcPr>
            <w:tcW w:w="9980" w:type="dxa"/>
            <w:gridSpan w:val="11"/>
          </w:tcPr>
          <w:p w14:paraId="59BD7B63"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ÁREA REQUISITANTE</w:t>
            </w:r>
          </w:p>
          <w:p w14:paraId="302A669A" w14:textId="680B9B41" w:rsidR="00E40EE0" w:rsidRDefault="0033074C">
            <w:pPr>
              <w:jc w:val="both"/>
              <w:rPr>
                <w:rFonts w:ascii="Calibri" w:eastAsia="Calibri" w:hAnsi="Calibri" w:cs="Calibri"/>
                <w:b/>
                <w:sz w:val="22"/>
                <w:szCs w:val="22"/>
              </w:rPr>
            </w:pPr>
            <w:proofErr w:type="gramStart"/>
            <w:r w:rsidRPr="0033074C">
              <w:rPr>
                <w:rFonts w:ascii="Calibri" w:eastAsia="Calibri" w:hAnsi="Calibri" w:cs="Calibri"/>
                <w:b/>
                <w:color w:val="EE0000"/>
                <w:sz w:val="22"/>
                <w:szCs w:val="22"/>
              </w:rPr>
              <w:t xml:space="preserve">COORDENADORIA DE TECNOLOGIA DA INFORMAÇÃO</w:t>
            </w:r>
          </w:p>
        </w:tc>
      </w:tr>
      <w:tr w:rsidR="005D622A" w14:paraId="7EB02734" w14:textId="77777777" w:rsidTr="00E40EE0">
        <w:trPr>
          <w:trHeight w:val="54"/>
        </w:trPr>
        <w:tc>
          <w:tcPr>
            <w:tcW w:w="5029" w:type="dxa"/>
            <w:gridSpan w:val="5"/>
            <w:shd w:val="clear" w:color="auto" w:fill="BFBFBF"/>
          </w:tcPr>
          <w:p w14:paraId="03B38E91"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ÁREA REQUISITANTE</w:t>
            </w:r>
          </w:p>
        </w:tc>
        <w:tc>
          <w:tcPr>
            <w:tcW w:w="4951" w:type="dxa"/>
            <w:gridSpan w:val="6"/>
            <w:shd w:val="clear" w:color="auto" w:fill="BFBFBF"/>
          </w:tcPr>
          <w:p w14:paraId="1A711144"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 xml:space="preserve">RESPONSÁVEL</w:t>
            </w:r>
          </w:p>
        </w:tc>
      </w:tr>
      <w:tr w:rsidR="005D622A" w14:paraId="0E732DBE" w14:textId="77777777" w:rsidTr="00E40EE0">
        <w:trPr>
          <w:trHeight w:val="54"/>
        </w:trPr>
        <w:tc>
          <w:tcPr>
            <w:tcW w:w="5029" w:type="dxa"/>
            <w:gridSpan w:val="5"/>
          </w:tcPr>
          <w:p w14:paraId="26F09BD9" w14:textId="546AADA4" w:rsidR="00E40EE0" w:rsidRDefault="0033074C">
            <w:pPr>
              <w:jc w:val="both"/>
              <w:rPr>
                <w:rFonts w:ascii="Calibri" w:eastAsia="Calibri" w:hAnsi="Calibri" w:cs="Calibri"/>
                <w:sz w:val="22"/>
                <w:szCs w:val="22"/>
              </w:rPr>
            </w:pPr>
            <w:proofErr w:type="gramStart"/>
            <w:r w:rsidRPr="0033074C">
              <w:rPr>
                <w:rFonts w:ascii="Calibri" w:eastAsia="Calibri" w:hAnsi="Calibri" w:cs="Calibri"/>
                <w:color w:val="EE0000"/>
                <w:sz w:val="22"/>
                <w:szCs w:val="22"/>
              </w:rPr>
              <w:t xml:space="preserve">COORDENADORIA DE TECNOLOGIA DA INFORMAÇÃO</w:t>
            </w:r>
          </w:p>
        </w:tc>
        <w:tc>
          <w:tcPr>
            <w:tcW w:w="4951" w:type="dxa"/>
            <w:gridSpan w:val="6"/>
          </w:tcPr>
          <w:p w14:paraId="77979D1C" w14:textId="2E99C59B" w:rsidR="005D622A" w:rsidRDefault="0033074C">
            <w:pPr>
              <w:jc w:val="both"/>
              <w:rPr>
                <w:rFonts w:ascii="Calibri" w:eastAsia="Calibri" w:hAnsi="Calibri" w:cs="Calibri"/>
                <w:sz w:val="22"/>
                <w:szCs w:val="22"/>
              </w:rPr>
            </w:pPr>
            <w:proofErr w:type="gramStart"/>
            <w:r w:rsidRPr="0033074C">
              <w:rPr>
                <w:rFonts w:ascii="Calibri" w:eastAsia="Calibri" w:hAnsi="Calibri" w:cs="Calibri"/>
                <w:color w:val="EE0000"/>
                <w:sz w:val="22"/>
                <w:szCs w:val="22"/>
              </w:rPr>
              <w:t xml:space="preserve">Danilo Vieira da Cruz</w:t>
            </w:r>
          </w:p>
        </w:tc>
      </w:tr>
      <w:tr w:rsidR="005D622A" w14:paraId="46A67C6E" w14:textId="77777777" w:rsidTr="00E40EE0">
        <w:tc>
          <w:tcPr>
            <w:tcW w:w="9980" w:type="dxa"/>
            <w:gridSpan w:val="11"/>
          </w:tcPr>
          <w:p w14:paraId="73AE7B28"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INTRODUÇÃO</w:t>
            </w:r>
          </w:p>
          <w:p w14:paraId="07B7A306" w14:textId="77777777" w:rsidR="005D622A" w:rsidRDefault="00C55F56">
            <w:pPr>
              <w:numPr>
                <w:ilvl w:val="1"/>
                <w:numId w:val="1"/>
              </w:numPr>
              <w:ind w:left="0" w:firstLine="0"/>
              <w:jc w:val="both"/>
              <w:rPr>
                <w:rFonts w:ascii="Calibri" w:eastAsia="Calibri" w:hAnsi="Calibri" w:cs="Calibri"/>
                <w:sz w:val="22"/>
                <w:szCs w:val="22"/>
              </w:rPr>
            </w:pPr>
            <w:r w:rsidRPr="000570FE">
              <w:rPr>
                <w:rFonts w:ascii="Calibri" w:eastAsia="Calibri" w:hAnsi="Calibri" w:cs="Calibri"/>
                <w:sz w:val="22"/>
                <w:szCs w:val="22"/>
              </w:rPr>
              <w:t>O Estudo Técnico Preliminar (ETP) dará início a fase preparatória para a contratação de empresa para aquisição de materiais de consumo (itens</w:t>
            </w:r>
            <w:r w:rsidR="000570FE">
              <w:rPr>
                <w:rFonts w:ascii="Calibri" w:eastAsia="Calibri" w:hAnsi="Calibri" w:cs="Calibri"/>
                <w:sz w:val="22"/>
                <w:szCs w:val="22"/>
              </w:rPr>
              <w:t xml:space="preserve"> de informática</w:t>
            </w:r>
            <w:r w:rsidRPr="000570FE">
              <w:rPr>
                <w:rFonts w:ascii="Calibri" w:eastAsia="Calibri" w:hAnsi="Calibri" w:cs="Calibri"/>
                <w:sz w:val="22"/>
                <w:szCs w:val="22"/>
              </w:rPr>
              <w:t xml:space="preserve">) </w:t>
            </w:r>
            <w:r>
              <w:rPr>
                <w:rFonts w:ascii="Calibri" w:eastAsia="Calibri" w:hAnsi="Calibri" w:cs="Calibri"/>
                <w:sz w:val="22"/>
                <w:szCs w:val="22"/>
              </w:rPr>
              <w:t>para atender às demandas do Departamento Estadual de Trânsito de Mato Grosso;</w:t>
            </w:r>
          </w:p>
          <w:p w14:paraId="2AF5C977" w14:textId="77777777" w:rsidR="005D622A" w:rsidRDefault="00C55F56">
            <w:pPr>
              <w:numPr>
                <w:ilvl w:val="1"/>
                <w:numId w:val="1"/>
              </w:numPr>
              <w:ind w:left="0" w:firstLine="0"/>
              <w:jc w:val="both"/>
              <w:rPr>
                <w:rFonts w:ascii="Calibri" w:eastAsia="Calibri" w:hAnsi="Calibri" w:cs="Calibri"/>
                <w:sz w:val="22"/>
                <w:szCs w:val="22"/>
              </w:rPr>
            </w:pPr>
            <w:r>
              <w:rPr>
                <w:rFonts w:ascii="Calibri" w:eastAsia="Calibri" w:hAnsi="Calibri" w:cs="Calibri"/>
                <w:sz w:val="22"/>
                <w:szCs w:val="22"/>
              </w:rPr>
              <w:t>Compreende-se que este documento constituirá a primeira fase do planejamento da contratação, que retratará o interesse público envolvido e a sua melhor solução, servirá de base para o anteprojeto, termo de referência ou ao projeto básico a serem elaborados caso se reconheça pela viabilidade da contratação;</w:t>
            </w:r>
          </w:p>
          <w:p w14:paraId="323E9B1F" w14:textId="77777777" w:rsidR="005D622A" w:rsidRDefault="00C55F56">
            <w:pPr>
              <w:numPr>
                <w:ilvl w:val="1"/>
                <w:numId w:val="1"/>
              </w:numPr>
              <w:ind w:left="0" w:firstLine="0"/>
              <w:jc w:val="both"/>
              <w:rPr>
                <w:rFonts w:ascii="Calibri" w:eastAsia="Calibri" w:hAnsi="Calibri" w:cs="Calibri"/>
                <w:sz w:val="22"/>
                <w:szCs w:val="22"/>
              </w:rPr>
            </w:pPr>
            <w:r>
              <w:rPr>
                <w:rFonts w:ascii="Calibri" w:eastAsia="Calibri" w:hAnsi="Calibri" w:cs="Calibri"/>
                <w:sz w:val="22"/>
                <w:szCs w:val="22"/>
              </w:rPr>
              <w:t>Evidenciará o problema a ser resolvido e a sua melhor solução, de modo a permitir a avaliação da viabilidade técnica e econômica da contração;</w:t>
            </w:r>
          </w:p>
          <w:p w14:paraId="26D1B347" w14:textId="77777777" w:rsidR="005D622A" w:rsidRDefault="00C55F56">
            <w:pPr>
              <w:numPr>
                <w:ilvl w:val="1"/>
                <w:numId w:val="1"/>
              </w:numPr>
              <w:ind w:left="0" w:firstLine="0"/>
              <w:jc w:val="both"/>
              <w:rPr>
                <w:rFonts w:ascii="Calibri" w:eastAsia="Calibri" w:hAnsi="Calibri" w:cs="Calibri"/>
                <w:sz w:val="22"/>
                <w:szCs w:val="22"/>
              </w:rPr>
            </w:pPr>
            <w:r>
              <w:rPr>
                <w:rFonts w:ascii="Calibri" w:eastAsia="Calibri" w:hAnsi="Calibri" w:cs="Calibri"/>
                <w:sz w:val="22"/>
                <w:szCs w:val="22"/>
              </w:rPr>
              <w:t>O Estudo que antecede a aquisição pretendida, em sua fase preparatória, estará pautado nas deliberações legais regulatórias, em âmbito Nacional e Estadual, inclusive no que diz respeito a Lei Federal de Licitações e Contratos Administrativos nº 14.133, de 1º de abril de 2021. No artigo 18, §2º, desta Lei, diz: “o estudo técnico preliminar deverá conter ao menos os elementos previstos nos incisos I, IV, VI, VIII e XIII do §1º deste artigo e, quando não contemplar os demais elementos previstos no referido parágrafo, apresentar as devidas justificativas;</w:t>
            </w:r>
          </w:p>
          <w:p w14:paraId="55D77B6A" w14:textId="77777777" w:rsidR="005D622A" w:rsidRDefault="00C55F56" w:rsidP="000570FE">
            <w:pPr>
              <w:numPr>
                <w:ilvl w:val="1"/>
                <w:numId w:val="1"/>
              </w:numPr>
              <w:spacing w:after="120"/>
              <w:ind w:left="0" w:firstLine="0"/>
              <w:jc w:val="both"/>
              <w:rPr>
                <w:rFonts w:ascii="Calibri" w:eastAsia="Calibri" w:hAnsi="Calibri" w:cs="Calibri"/>
                <w:sz w:val="22"/>
                <w:szCs w:val="22"/>
              </w:rPr>
            </w:pPr>
            <w:r>
              <w:rPr>
                <w:rFonts w:ascii="Calibri" w:eastAsia="Calibri" w:hAnsi="Calibri" w:cs="Calibri"/>
                <w:sz w:val="22"/>
                <w:szCs w:val="22"/>
              </w:rPr>
              <w:t>No âmbito estadual, a Nova Lei de Licitações e Contratos é regulamentada pelo Decreto Estadual nº 1.525/2022;</w:t>
            </w:r>
          </w:p>
        </w:tc>
      </w:tr>
      <w:tr w:rsidR="005D622A" w14:paraId="751AB2F5" w14:textId="77777777" w:rsidTr="00E40EE0">
        <w:tc>
          <w:tcPr>
            <w:tcW w:w="9980" w:type="dxa"/>
            <w:gridSpan w:val="11"/>
          </w:tcPr>
          <w:p w14:paraId="7C006984" w14:textId="77777777" w:rsidR="005D622A" w:rsidRDefault="00C55F56" w:rsidP="00AA2652">
            <w:pPr>
              <w:numPr>
                <w:ilvl w:val="0"/>
                <w:numId w:val="1"/>
              </w:numPr>
              <w:shd w:val="clear" w:color="auto" w:fill="D9D9D9"/>
              <w:tabs>
                <w:tab w:val="left" w:pos="438"/>
              </w:tabs>
              <w:ind w:right="57"/>
              <w:jc w:val="both"/>
              <w:rPr>
                <w:rFonts w:ascii="Calibri" w:eastAsia="Calibri" w:hAnsi="Calibri" w:cs="Calibri"/>
                <w:b/>
                <w:sz w:val="22"/>
                <w:szCs w:val="22"/>
              </w:rPr>
            </w:pPr>
            <w:r>
              <w:rPr>
                <w:rFonts w:ascii="Calibri" w:eastAsia="Calibri" w:hAnsi="Calibri" w:cs="Calibri"/>
                <w:b/>
                <w:sz w:val="22"/>
                <w:szCs w:val="22"/>
              </w:rPr>
              <w:t xml:space="preserve">DESCRIÇÃO DA NECESSIDADE DA CONTRATAÇÃO, CONSIDERANDO O PROBLEMA A SER RESOLVIDO SOB A PERSPECTIVA DO INTERESSE PÚBLICO (art. 35, inciso I do D1525/2022)</w:t>
            </w:r>
          </w:p>
          <w:p w14:paraId="3740E723" w14:textId="77777777" w:rsidR="005D622A" w:rsidRPr="00AA2652" w:rsidRDefault="00AA2652" w:rsidP="00AA2652">
            <w:pPr>
              <w:widowControl/>
              <w:spacing w:before="100" w:beforeAutospacing="1" w:after="100" w:afterAutospacing="1"/>
              <w:rPr>
                <w:rFonts w:ascii="Courier New" w:hAnsi="Courier New" w:cs="Courier New"/>
                <w:color w:val="EE0000"/>
                <w:sz w:val="20"/>
                <w:szCs w:val="20"/>
              </w:rPr>
            </w:pPr>
            <w:proofErr w:type="gramStart"/>
            <w:r w:rsidRPr="00AA2652">
              <w:rPr>
                <w:rFonts w:ascii="Courier New" w:hAnsi="Courier New" w:cs="Courier New"/>
                <w:color w:val="EE0000"/>
                <w:sz w:val="20"/>
                <w:szCs w:val="20"/>
              </w:rPr>
              <w:t xml:space="preserve">**Descrição da Necessidade da Contratação**</w:t>
              <w:br/>
              <w:t xml:space="preserve"/>
              <w:br/>
              <w:t xml:space="preserve">O Departamento Estadual de Trânsito de Mato Grosso (DETRAS) tem como missão garantir a segurança e fluidez do trânsito no estado, bem como atender às demandas dos cidadãos que utilizam as rodovias estaduais. Para alcançar este objetivo, é fundamental que os funcionários do DETRAS possuam ferramentas de informática atualizadas e eficientes para realizar suas atividades diárias.</w:t>
              <w:br/>
              <w:t xml:space="preserve"/>
              <w:br/>
              <w:t xml:space="preserve">No entanto, a análise da situação atual revela que o estoque de materiais de consumo (itens de informática) do DETRAS está em processo de esgotamento, o que compromete a capacidade dos funcionários de realizar suas tarefas de forma eficaz e eficiente. Além disso, a falta de atualização tecnológica é um obstáculo para a implementação de soluções inovadoras e eficientes no âmbito do trânsito estadual.</w:t>
              <w:br/>
              <w:t xml:space="preserve"/>
              <w:br/>
              <w:t xml:space="preserve">A contratação de materiais de consumo (itens de informática) é fundamental para atender às demandas do DETRAS e garantir o funcionamento adequado dos sistemas de informação e comunicação. A aquisição desses itens permitirá:</w:t>
              <w:br/>
              <w:t xml:space="preserve"/>
              <w:br/>
              <w:t xml:space="preserve">* Atualizar os equipamentos e softwares utilizados pelos funcionários, garantindo a segurança e eficiência das operações;</w:t>
              <w:br/>
              <w:t xml:space="preserve">* Implementar soluções inovadoras e eficientes para o gerenciamento do trânsito estadual, como sistemas de monitoramento e controle de fluxo de trânsito;</w:t>
              <w:br/>
              <w:t xml:space="preserve">* Melhorar a capacidade de resposta às demandas dos cidadãos, garantindo a segurança e fluidez do trânsito no estado.</w:t>
              <w:br/>
              <w:t xml:space="preserve"/>
              <w:br/>
              <w:t xml:space="preserve">Além disso, a contratação desses materiais é um investimento público que contribui para o desenvolvimento econômico e social do estado. A atualização tecnológica do DETRAS permitirá a melhoria da qualidade de vida dos cidadãos, bem como a atratividade para novos negócios e investimentos no setor.</w:t>
              <w:br/>
              <w:t xml:space="preserve"/>
              <w:br/>
              <w:t xml:space="preserve">Em resumo, a contratação de materiais de consumo (itens de informática) é fundamental para atender às demandas do DETRAS e garantir o funcionamento adequado dos sistemas de informação e comunicação. A aquisição desses itens permitirá a atualização tecnológica do Departamento, contribuindo para o desenvolvimento econômico e social do estado, bem como a melhoria da qualidade de vida dos cidadãos.</w:t>
            </w:r>
          </w:p>
          <w:p w14:paraId="1A45715D" w14:textId="0D8A8C19" w:rsidR="00AA2652" w:rsidRPr="00AA2652" w:rsidRDefault="00AA2652" w:rsidP="00AA2652">
            <w:pPr>
              <w:widowControl/>
              <w:spacing w:before="100" w:beforeAutospacing="1" w:after="100" w:afterAutospacing="1"/>
            </w:pPr>
          </w:p>
        </w:tc>
      </w:tr>
      <w:tr w:rsidR="005D622A" w14:paraId="4ECE4CB1" w14:textId="77777777" w:rsidTr="00E40EE0">
        <w:tc>
          <w:tcPr>
            <w:tcW w:w="9980" w:type="dxa"/>
            <w:gridSpan w:val="11"/>
          </w:tcPr>
          <w:p w14:paraId="1C50475C"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DEMONSTRAÇÃO DA PREVISÃO DA CONTRATAÇÃO NO PLANO DE CONTRATAÇÕES ANUAL, SEMPRE QUE ELABORADO, OU DESDE QUE JUSTIFICADA A IMPOSSIBILIDADE, DE MODO A INDICAR O SEU ALINHAMENTO COM OS INSTRUMENTOS DE PLANEJAMENTO DO ÓRGÃO OU ENTIDADE (art. 35, inciso II do D1525/2022)</w:t>
            </w:r>
          </w:p>
        </w:tc>
      </w:tr>
      <w:tr w:rsidR="005D622A" w14:paraId="35144777" w14:textId="77777777" w:rsidTr="00E40EE0">
        <w:trPr>
          <w:trHeight w:val="217"/>
        </w:trPr>
        <w:tc>
          <w:tcPr>
            <w:tcW w:w="9980" w:type="dxa"/>
            <w:gridSpan w:val="11"/>
            <w:tcMar>
              <w:top w:w="55" w:type="dxa"/>
              <w:left w:w="55" w:type="dxa"/>
              <w:bottom w:w="55" w:type="dxa"/>
              <w:right w:w="55" w:type="dxa"/>
            </w:tcMar>
          </w:tcPr>
          <w:p w14:paraId="5B610BF3" w14:textId="77777777" w:rsidR="005D622A" w:rsidRDefault="00C55F56">
            <w:pPr>
              <w:numPr>
                <w:ilvl w:val="1"/>
                <w:numId w:val="1"/>
              </w:numPr>
              <w:ind w:left="0" w:firstLine="0"/>
              <w:jc w:val="both"/>
              <w:rPr>
                <w:rFonts w:ascii="Calibri" w:eastAsia="Calibri" w:hAnsi="Calibri" w:cs="Calibri"/>
                <w:color w:val="000000"/>
                <w:sz w:val="22"/>
                <w:szCs w:val="22"/>
              </w:rPr>
            </w:pPr>
            <w:r>
              <w:rPr>
                <w:rFonts w:ascii="Calibri" w:eastAsia="Calibri" w:hAnsi="Calibri" w:cs="Calibri"/>
                <w:color w:val="FF0000"/>
                <w:sz w:val="22"/>
                <w:szCs w:val="22"/>
              </w:rPr>
              <w:t xml:space="preserve">Demonstração da previsão da contratação no plano de contrações anual, sempre que elaborado, de modo a indicar o seu alinhamento com o planejamento da Administração.</w:t>
            </w:r>
          </w:p>
        </w:tc>
      </w:tr>
      <w:tr w:rsidR="005D622A" w14:paraId="05F7485B" w14:textId="77777777" w:rsidTr="00AA2652">
        <w:trPr>
          <w:trHeight w:val="122"/>
        </w:trPr>
        <w:tc>
          <w:tcPr>
            <w:tcW w:w="4129" w:type="dxa"/>
            <w:gridSpan w:val="3"/>
            <w:tcMar>
              <w:top w:w="55" w:type="dxa"/>
              <w:left w:w="55" w:type="dxa"/>
              <w:bottom w:w="55" w:type="dxa"/>
              <w:right w:w="55" w:type="dxa"/>
            </w:tcMar>
          </w:tcPr>
          <w:p w14:paraId="66066011"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Sub ação: </w:t>
            </w:r>
          </w:p>
        </w:tc>
        <w:tc>
          <w:tcPr>
            <w:tcW w:w="2317" w:type="dxa"/>
            <w:gridSpan w:val="4"/>
            <w:tcMar>
              <w:top w:w="55" w:type="dxa"/>
              <w:left w:w="55" w:type="dxa"/>
              <w:bottom w:w="55" w:type="dxa"/>
              <w:right w:w="55" w:type="dxa"/>
            </w:tcMar>
          </w:tcPr>
          <w:p w14:paraId="1DA06317" w14:textId="4C8A753A" w:rsidR="005D622A" w:rsidRDefault="00AA2652">
            <w:pPr>
              <w:pBdr>
                <w:top w:val="nil"/>
                <w:left w:val="nil"/>
                <w:bottom w:val="nil"/>
                <w:right w:val="nil"/>
                <w:between w:val="nil"/>
              </w:pBdr>
              <w:tabs>
                <w:tab w:val="left" w:pos="314"/>
              </w:tabs>
              <w:jc w:val="center"/>
              <w:rPr>
                <w:rFonts w:ascii="Calibri" w:eastAsia="Calibri" w:hAnsi="Calibri" w:cs="Calibri"/>
                <w:color w:val="FF0000"/>
                <w:sz w:val="22"/>
                <w:szCs w:val="22"/>
              </w:rPr>
            </w:pPr>
            <w:proofErr w:type="gramStart"/>
            <w:r w:rsidRPr="00AA2652">
              <w:rPr>
                <w:rFonts w:ascii="Calibri" w:eastAsia="Calibri" w:hAnsi="Calibri" w:cs="Calibri"/>
                <w:color w:val="FF0000"/>
                <w:sz w:val="20"/>
                <w:szCs w:val="20"/>
              </w:rPr>
              <w:t xml:space="preserve">112</w:t>
            </w:r>
          </w:p>
        </w:tc>
        <w:tc>
          <w:tcPr>
            <w:tcW w:w="1970" w:type="dxa"/>
            <w:gridSpan w:val="2"/>
            <w:tcMar>
              <w:top w:w="55" w:type="dxa"/>
              <w:left w:w="55" w:type="dxa"/>
              <w:bottom w:w="55" w:type="dxa"/>
              <w:right w:w="55" w:type="dxa"/>
            </w:tcMar>
          </w:tcPr>
          <w:p w14:paraId="2D0626F3"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Etapa:</w:t>
            </w:r>
          </w:p>
        </w:tc>
        <w:tc>
          <w:tcPr>
            <w:tcW w:w="1564" w:type="dxa"/>
            <w:gridSpan w:val="2"/>
            <w:tcMar>
              <w:top w:w="55" w:type="dxa"/>
              <w:left w:w="55" w:type="dxa"/>
              <w:bottom w:w="55" w:type="dxa"/>
              <w:right w:w="55" w:type="dxa"/>
            </w:tcMar>
          </w:tcPr>
          <w:p w14:paraId="6010F797" w14:textId="7CC821AD" w:rsidR="005D622A" w:rsidRDefault="00AA2652">
            <w:pPr>
              <w:pBdr>
                <w:top w:val="nil"/>
                <w:left w:val="nil"/>
                <w:bottom w:val="nil"/>
                <w:right w:val="nil"/>
                <w:between w:val="nil"/>
              </w:pBdr>
              <w:tabs>
                <w:tab w:val="left" w:pos="314"/>
              </w:tabs>
              <w:jc w:val="center"/>
              <w:rPr>
                <w:rFonts w:ascii="Calibri" w:eastAsia="Calibri" w:hAnsi="Calibri" w:cs="Calibri"/>
                <w:color w:val="FF0000"/>
                <w:sz w:val="22"/>
                <w:szCs w:val="22"/>
              </w:rPr>
            </w:pPr>
            <w:proofErr w:type="gramStart"/>
            <w:r w:rsidRPr="00AA2652">
              <w:rPr>
                <w:rFonts w:ascii="Calibri" w:eastAsia="Calibri" w:hAnsi="Calibri" w:cs="Calibri"/>
                <w:color w:val="FF0000"/>
                <w:sz w:val="20"/>
                <w:szCs w:val="20"/>
              </w:rPr>
              <w:t xml:space="preserve">112</w:t>
            </w:r>
          </w:p>
        </w:tc>
      </w:tr>
      <w:tr w:rsidR="005D622A" w14:paraId="67A74A47" w14:textId="77777777" w:rsidTr="00AA2652">
        <w:trPr>
          <w:trHeight w:val="43"/>
        </w:trPr>
        <w:tc>
          <w:tcPr>
            <w:tcW w:w="4129" w:type="dxa"/>
            <w:gridSpan w:val="3"/>
            <w:tcMar>
              <w:top w:w="55" w:type="dxa"/>
              <w:left w:w="55" w:type="dxa"/>
              <w:bottom w:w="55" w:type="dxa"/>
              <w:right w:w="55" w:type="dxa"/>
            </w:tcMar>
          </w:tcPr>
          <w:p w14:paraId="7A9F7F21"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Natureza da Despesa:</w:t>
            </w:r>
          </w:p>
        </w:tc>
        <w:tc>
          <w:tcPr>
            <w:tcW w:w="2317" w:type="dxa"/>
            <w:gridSpan w:val="4"/>
            <w:tcMar>
              <w:top w:w="55" w:type="dxa"/>
              <w:left w:w="55" w:type="dxa"/>
              <w:bottom w:w="55" w:type="dxa"/>
              <w:right w:w="55" w:type="dxa"/>
            </w:tcMar>
          </w:tcPr>
          <w:p w14:paraId="53DD1E68" w14:textId="16CD90BA" w:rsidR="005D622A" w:rsidRDefault="00AA2652">
            <w:pPr>
              <w:pBdr>
                <w:top w:val="nil"/>
                <w:left w:val="nil"/>
                <w:bottom w:val="nil"/>
                <w:right w:val="nil"/>
                <w:between w:val="nil"/>
              </w:pBdr>
              <w:tabs>
                <w:tab w:val="left" w:pos="314"/>
              </w:tabs>
              <w:jc w:val="center"/>
              <w:rPr>
                <w:rFonts w:ascii="Calibri" w:eastAsia="Calibri" w:hAnsi="Calibri" w:cs="Calibri"/>
                <w:color w:val="000000"/>
                <w:sz w:val="22"/>
                <w:szCs w:val="22"/>
              </w:rPr>
            </w:pPr>
            <w:proofErr w:type="gramStart"/>
            <w:r w:rsidRPr="00AA2652">
              <w:rPr>
                <w:rFonts w:ascii="Calibri" w:eastAsia="Calibri" w:hAnsi="Calibri" w:cs="Calibri"/>
                <w:color w:val="FF0000"/>
                <w:sz w:val="18"/>
                <w:szCs w:val="18"/>
              </w:rPr>
              <w:t xml:space="preserve">111222</w:t>
            </w:r>
          </w:p>
        </w:tc>
        <w:tc>
          <w:tcPr>
            <w:tcW w:w="1970" w:type="dxa"/>
            <w:gridSpan w:val="2"/>
            <w:tcMar>
              <w:top w:w="55" w:type="dxa"/>
              <w:left w:w="55" w:type="dxa"/>
              <w:bottom w:w="55" w:type="dxa"/>
              <w:right w:w="55" w:type="dxa"/>
            </w:tcMar>
          </w:tcPr>
          <w:p w14:paraId="64E45AB7"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Fonte:</w:t>
            </w:r>
          </w:p>
        </w:tc>
        <w:tc>
          <w:tcPr>
            <w:tcW w:w="1564" w:type="dxa"/>
            <w:gridSpan w:val="2"/>
            <w:tcMar>
              <w:top w:w="55" w:type="dxa"/>
              <w:left w:w="55" w:type="dxa"/>
              <w:bottom w:w="55" w:type="dxa"/>
              <w:right w:w="55" w:type="dxa"/>
            </w:tcMar>
          </w:tcPr>
          <w:p w14:paraId="2778FDA4" w14:textId="744FD10E" w:rsidR="005D622A" w:rsidRDefault="00AA2652">
            <w:pPr>
              <w:pBdr>
                <w:top w:val="nil"/>
                <w:left w:val="nil"/>
                <w:bottom w:val="nil"/>
                <w:right w:val="nil"/>
                <w:between w:val="nil"/>
              </w:pBdr>
              <w:tabs>
                <w:tab w:val="left" w:pos="314"/>
              </w:tabs>
              <w:jc w:val="center"/>
              <w:rPr>
                <w:rFonts w:ascii="Calibri" w:eastAsia="Calibri" w:hAnsi="Calibri" w:cs="Calibri"/>
                <w:color w:val="FF0000"/>
                <w:sz w:val="22"/>
                <w:szCs w:val="22"/>
              </w:rPr>
            </w:pPr>
            <w:proofErr w:type="gramStart"/>
            <w:r w:rsidRPr="00AA2652">
              <w:rPr>
                <w:rFonts w:ascii="Calibri" w:eastAsia="Calibri" w:hAnsi="Calibri" w:cs="Calibri"/>
                <w:color w:val="FF0000"/>
                <w:sz w:val="22"/>
                <w:szCs w:val="22"/>
              </w:rPr>
              <w:t xml:space="preserve">11222</w:t>
            </w:r>
          </w:p>
        </w:tc>
      </w:tr>
      <w:tr w:rsidR="00202859" w14:paraId="000DD197" w14:textId="77777777" w:rsidTr="00AA2652">
        <w:trPr>
          <w:trHeight w:val="43"/>
        </w:trPr>
        <w:tc>
          <w:tcPr>
            <w:tcW w:w="4129" w:type="dxa"/>
            <w:gridSpan w:val="3"/>
            <w:tcMar>
              <w:top w:w="55" w:type="dxa"/>
              <w:left w:w="55" w:type="dxa"/>
              <w:bottom w:w="55" w:type="dxa"/>
              <w:right w:w="55" w:type="dxa"/>
            </w:tcMar>
          </w:tcPr>
          <w:p w14:paraId="03E0D93D" w14:textId="382414C0" w:rsidR="00202859" w:rsidRDefault="00202859">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Projeto/Atividade: </w:t>
            </w:r>
          </w:p>
        </w:tc>
        <w:tc>
          <w:tcPr>
            <w:tcW w:w="2317" w:type="dxa"/>
            <w:gridSpan w:val="4"/>
            <w:tcMar>
              <w:top w:w="55" w:type="dxa"/>
              <w:left w:w="55" w:type="dxa"/>
              <w:bottom w:w="55" w:type="dxa"/>
              <w:right w:w="55" w:type="dxa"/>
            </w:tcMar>
          </w:tcPr>
          <w:p w14:paraId="63FAB21B" w14:textId="772F9DAC" w:rsidR="00202859" w:rsidRPr="00AA2652" w:rsidRDefault="00202859">
            <w:pPr>
              <w:pBdr>
                <w:top w:val="nil"/>
                <w:left w:val="nil"/>
                <w:bottom w:val="nil"/>
                <w:right w:val="nil"/>
                <w:between w:val="nil"/>
              </w:pBdr>
              <w:tabs>
                <w:tab w:val="left" w:pos="314"/>
              </w:tabs>
              <w:jc w:val="center"/>
              <w:rPr>
                <w:rFonts w:ascii="Calibri" w:eastAsia="Calibri" w:hAnsi="Calibri" w:cs="Calibri"/>
                <w:color w:val="FF0000"/>
                <w:sz w:val="18"/>
                <w:szCs w:val="18"/>
              </w:rPr>
            </w:pPr>
            <w:proofErr w:type="gramStart"/>
            <w:r w:rsidRPr="00AA2652">
              <w:rPr>
                <w:rFonts w:ascii="Calibri" w:eastAsia="Calibri" w:hAnsi="Calibri" w:cs="Calibri"/>
                <w:color w:val="FF0000"/>
                <w:sz w:val="20"/>
                <w:szCs w:val="20"/>
              </w:rPr>
              <w:t xml:space="preserve"/>
            </w:r>
          </w:p>
        </w:tc>
        <w:tc>
          <w:tcPr>
            <w:tcW w:w="1970" w:type="dxa"/>
            <w:gridSpan w:val="2"/>
            <w:tcMar>
              <w:top w:w="55" w:type="dxa"/>
              <w:left w:w="55" w:type="dxa"/>
              <w:bottom w:w="55" w:type="dxa"/>
              <w:right w:w="55" w:type="dxa"/>
            </w:tcMar>
          </w:tcPr>
          <w:p w14:paraId="238F9173" w14:textId="1C4691FF" w:rsidR="00202859" w:rsidRPr="00202859" w:rsidRDefault="00202859" w:rsidP="00202859">
            <w:pPr>
              <w:pBdr>
                <w:top w:val="nil"/>
                <w:left w:val="nil"/>
                <w:bottom w:val="nil"/>
                <w:right w:val="nil"/>
                <w:between w:val="nil"/>
              </w:pBdr>
              <w:tabs>
                <w:tab w:val="left" w:pos="314"/>
              </w:tabs>
              <w:rPr>
                <w:rFonts w:ascii="Calibri" w:eastAsia="Calibri" w:hAnsi="Calibri" w:cs="Calibri"/>
                <w:color w:val="000000"/>
                <w:sz w:val="18"/>
                <w:szCs w:val="18"/>
              </w:rPr>
            </w:pPr>
            <w:r w:rsidRPr="00202859">
              <w:rPr>
                <w:rFonts w:ascii="Calibri" w:eastAsia="Calibri" w:hAnsi="Calibri" w:cs="Calibri"/>
                <w:color w:val="000000"/>
                <w:sz w:val="18"/>
                <w:szCs w:val="18"/>
              </w:rPr>
              <w:t xml:space="preserve">Programa: </w:t>
            </w:r>
          </w:p>
        </w:tc>
        <w:tc>
          <w:tcPr>
            <w:tcW w:w="1564" w:type="dxa"/>
            <w:gridSpan w:val="2"/>
            <w:tcMar>
              <w:top w:w="55" w:type="dxa"/>
              <w:left w:w="55" w:type="dxa"/>
              <w:bottom w:w="55" w:type="dxa"/>
              <w:right w:w="55" w:type="dxa"/>
            </w:tcMar>
          </w:tcPr>
          <w:p w14:paraId="55CBA1DF" w14:textId="1EEAB581" w:rsidR="00202859" w:rsidRPr="00202859" w:rsidRDefault="00202859">
            <w:pPr>
              <w:pBdr>
                <w:top w:val="nil"/>
                <w:left w:val="nil"/>
                <w:bottom w:val="nil"/>
                <w:right w:val="nil"/>
                <w:between w:val="nil"/>
              </w:pBdr>
              <w:tabs>
                <w:tab w:val="left" w:pos="314"/>
              </w:tabs>
              <w:jc w:val="center"/>
              <w:rPr>
                <w:rFonts w:ascii="Calibri" w:eastAsia="Calibri" w:hAnsi="Calibri" w:cs="Calibri"/>
                <w:color w:val="FF0000"/>
                <w:sz w:val="18"/>
                <w:szCs w:val="18"/>
              </w:rPr>
            </w:pPr>
            <w:proofErr w:type="gramStart"/>
            <w:r w:rsidRPr="00202859">
              <w:rPr>
                <w:rFonts w:ascii="Calibri" w:eastAsia="Calibri" w:hAnsi="Calibri" w:cs="Calibri"/>
                <w:color w:val="FF0000"/>
                <w:sz w:val="18"/>
                <w:szCs w:val="18"/>
              </w:rPr>
              <w:t xml:space="preserve"/>
            </w:r>
          </w:p>
        </w:tc>
      </w:tr>
      <w:tr w:rsidR="005D622A" w14:paraId="3FDBC2D8" w14:textId="77777777" w:rsidTr="00E40EE0">
        <w:trPr>
          <w:trHeight w:val="518"/>
        </w:trPr>
        <w:tc>
          <w:tcPr>
            <w:tcW w:w="9980" w:type="dxa"/>
            <w:gridSpan w:val="11"/>
            <w:tcMar>
              <w:top w:w="55" w:type="dxa"/>
              <w:left w:w="55" w:type="dxa"/>
              <w:bottom w:w="55" w:type="dxa"/>
              <w:right w:w="55" w:type="dxa"/>
            </w:tcMar>
          </w:tcPr>
          <w:p w14:paraId="17D96D7F"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DESCRIÇÃO DOS REQUISITOS DA CONTRATAÇÃO NECESSÁRIOS E SUFICIENTES À ESCOLHA DA SOLUÇÃO, PREVENDO CRITÉRIOS E PRÁTICAS DE SUSTENTABILIDADE (art. 35, inciso III do D1525/2022)</w:t>
            </w:r>
          </w:p>
          <w:p w14:paraId="0B4A639A" w14:textId="54E79D71" w:rsidR="005D622A" w:rsidRDefault="00AA2652">
            <w:pPr>
              <w:numPr>
                <w:ilvl w:val="1"/>
                <w:numId w:val="1"/>
              </w:numPr>
              <w:ind w:left="0" w:right="57" w:firstLine="0"/>
              <w:jc w:val="both"/>
              <w:rPr>
                <w:rFonts w:ascii="Calibri" w:eastAsia="Calibri" w:hAnsi="Calibri" w:cs="Calibri"/>
                <w:sz w:val="22"/>
                <w:szCs w:val="22"/>
              </w:rPr>
            </w:pPr>
            <w:proofErr w:type="gramStart"/>
            <w:r w:rsidRPr="00AA2652">
              <w:rPr>
                <w:rFonts w:ascii="Calibri" w:eastAsia="Calibri" w:hAnsi="Calibri" w:cs="Calibri"/>
                <w:color w:val="FF0000"/>
                <w:sz w:val="22"/>
                <w:szCs w:val="22"/>
              </w:rPr>
              <w:t xml:space="preserve">**Descrição dos Requisitos da Contratação**</w:t>
              <w:br/>
              <w:t xml:space="preserve"/>
              <w:br/>
              <w:t xml:space="preserve">A presente contratação visa à seleção de um fornecedor que atenda aos seguintes requisitos técnicos e de sustentabilidade:</w:t>
              <w:br/>
              <w:t xml:space="preserve"/>
              <w:br/>
              <w:t xml:space="preserve">**Requisitos Técnicos:**</w:t>
              <w:br/>
              <w:t xml:space="preserve"/>
              <w:br/>
              <w:t xml:space="preserve">1. **Qualidade do Produto:** O produto deve atender às normas de qualidade estabelecidas pela indústria, comprovando sua eficácia e segurança em uso.</w:t>
              <w:br/>
              <w:t xml:space="preserve">2. **Compatibilidade:** O produto deve ser compatível com os sistemas e tecnologias existentes na empresa, garantindo a integração harmoniosa e sem problemas.</w:t>
              <w:br/>
              <w:t xml:space="preserve">3. **Desempenho:** O produto deve apresentar um desempenho satisfatório em termos de performance, eficiência e durabilidade.</w:t>
              <w:br/>
              <w:t xml:space="preserve">4. **Manutenção:** O produto deve ser facilmente manutenível e reparável, reduzindo o tempo de parada e minimizando os custos de substituição.</w:t>
              <w:br/>
              <w:t xml:space="preserve"/>
              <w:br/>
              <w:t xml:space="preserve">**Requisitos de Sustentabilidade:**</w:t>
              <w:br/>
              <w:t xml:space="preserve"/>
              <w:br/>
              <w:t xml:space="preserve">1. **Sustentabilidade Ambiental:** O fornecedor deve demonstrar compromisso com a sustentabilidade ambiental, utilizando materiais e processos que minimizem o impacto ambiental.</w:t>
              <w:br/>
              <w:t xml:space="preserve">2. **Responsabilidade Social:** O fornecedor deve demonstrar responsabilidade social, respeitando os direitos humanos e promovendo práticas éticas em sua cadeia de produção.</w:t>
              <w:br/>
              <w:t xml:space="preserve">3. **Transparência:** O fornecedor deve ser transparente sobre suas práticas e processos, permitindo a auditoria e a fiscalização das condições de trabalho e do impacto ambiental.</w:t>
              <w:br/>
              <w:t xml:space="preserve"/>
              <w:br/>
              <w:t xml:space="preserve">**Garantias:**</w:t>
              <w:br/>
              <w:t xml:space="preserve"/>
              <w:br/>
              <w:t xml:space="preserve">1. **Garantia de Qualidade:** O fornecedor deve oferecer uma garantia de qualidade que cubra o produto durante um período mínimo de 12 meses.</w:t>
              <w:br/>
              <w:t xml:space="preserve">2. **Garantia de Funcionamento:** O fornecedor deve oferecer uma garantia de funcionamento que cubra as falhas e defeitos do produto durante um período mínimo de 24 meses.</w:t>
              <w:br/>
              <w:t xml:space="preserve"/>
              <w:br/>
              <w:t xml:space="preserve">**Critérios de Seleção:**</w:t>
              <w:br/>
              <w:t xml:space="preserve"/>
              <w:br/>
              <w:t xml:space="preserve">1. **Experiência:** O fornecedor deve possuir experiência comprovada em projetos similares, demonstrando sua capacidade para atender aos requisitos técnicos e de sustentabilidade.</w:t>
              <w:br/>
              <w:t xml:space="preserve">2. **Certificações:** O fornecedor deve possuir certificações relevantes, como ISO 9001 (Qualidade), ISO 14001 (Sustentabilidade Ambiental) e OHSAS 18001 (Segurança no Trabalho).</w:t>
              <w:br/>
              <w:t xml:space="preserve">3. **Referências:** O fornecedor deve fornecer referências de clientes satisfeitos e demonstrar sua capacidade para atender às necessidades específicas da empresa.</w:t>
              <w:br/>
              <w:t xml:space="preserve"/>
              <w:br/>
              <w:t xml:space="preserve">**Conclusão:**</w:t>
              <w:br/>
              <w:t xml:space="preserve"/>
              <w:br/>
              <w:t xml:space="preserve">A presente contratação visa à seleção de um fornecedor que atenda aos requisitos técnicos e de sustentabilidade estabelecidos. O fornecedor escolhido deve ser capaz de demonstrar sua capacidade para atender às necessidades específicas da empresa, garantindo a qualidade do produto, a responsabilidade social e a sustentabilidade ambiental.</w:t>
            </w:r>
          </w:p>
        </w:tc>
      </w:tr>
      <w:tr w:rsidR="005D622A" w14:paraId="07D6CFAD" w14:textId="77777777" w:rsidTr="00E40EE0">
        <w:trPr>
          <w:trHeight w:val="216"/>
        </w:trPr>
        <w:tc>
          <w:tcPr>
            <w:tcW w:w="9980" w:type="dxa"/>
            <w:gridSpan w:val="11"/>
            <w:tcMar>
              <w:top w:w="55" w:type="dxa"/>
              <w:left w:w="55" w:type="dxa"/>
              <w:bottom w:w="55" w:type="dxa"/>
              <w:right w:w="55" w:type="dxa"/>
            </w:tcMar>
          </w:tcPr>
          <w:p w14:paraId="6CCE9F46"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ESTIMATIVAS DAS QUANTIDADES A SEREM CONTRATADAS, ACOMPANHADAS DAS MEMÓRIAS DE CÁLCULO E DOS DOCUMENTOS QUE LHE DÃO SUPORTE, QUE CONSIDEREM INTERDEPENDÊNCIAS COM OUTRAS CONTRATAÇÕES, DE MODO A POSSIBILITAR ECONOMIA DE ESCALA (art. 35, inciso IV do D1525/2022)</w:t>
            </w:r>
          </w:p>
          <w:p w14:paraId="4DC13338" w14:textId="77777777" w:rsidR="005D622A" w:rsidRDefault="00C55F56">
            <w:pPr>
              <w:numPr>
                <w:ilvl w:val="1"/>
                <w:numId w:val="1"/>
              </w:numPr>
              <w:ind w:left="0" w:right="57" w:firstLine="0"/>
              <w:jc w:val="both"/>
              <w:rPr>
                <w:sz w:val="22"/>
                <w:szCs w:val="22"/>
              </w:rPr>
            </w:pPr>
            <w:r>
              <w:rPr>
                <w:rFonts w:ascii="Calibri" w:eastAsia="Calibri" w:hAnsi="Calibri" w:cs="Calibri"/>
                <w:color w:val="FF0000"/>
                <w:sz w:val="22"/>
                <w:szCs w:val="22"/>
              </w:rPr>
              <w:t>As estimativas das quantidades para a contração, acompanhadas das memórias de cálculo e dos documentos que lhes dão suporte, que considerem interdependências com outras contratações, de modo a possibilitar economia em escala.</w:t>
            </w:r>
          </w:p>
        </w:tc>
      </w:tr>
      <w:tr w:rsidR="005D622A" w14:paraId="24C68F76" w14:textId="77777777" w:rsidTr="00E40EE0">
        <w:trPr>
          <w:trHeight w:val="330"/>
        </w:trPr>
        <w:tc>
          <w:tcPr>
            <w:tcW w:w="1424" w:type="dxa"/>
            <w:shd w:val="clear" w:color="auto" w:fill="D9D9D9"/>
            <w:tcMar>
              <w:top w:w="55" w:type="dxa"/>
              <w:left w:w="55" w:type="dxa"/>
              <w:bottom w:w="55" w:type="dxa"/>
              <w:right w:w="55" w:type="dxa"/>
            </w:tcMar>
          </w:tcPr>
          <w:p w14:paraId="56E9DBA4"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LOTE/ITEM</w:t>
            </w:r>
          </w:p>
        </w:tc>
        <w:tc>
          <w:tcPr>
            <w:tcW w:w="1426" w:type="dxa"/>
            <w:shd w:val="clear" w:color="auto" w:fill="D9D9D9"/>
            <w:tcMar>
              <w:top w:w="55" w:type="dxa"/>
              <w:left w:w="55" w:type="dxa"/>
              <w:bottom w:w="55" w:type="dxa"/>
              <w:right w:w="55" w:type="dxa"/>
            </w:tcMar>
          </w:tcPr>
          <w:p w14:paraId="649BFA78"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SIAG/TCE</w:t>
            </w:r>
          </w:p>
        </w:tc>
        <w:tc>
          <w:tcPr>
            <w:tcW w:w="1426" w:type="dxa"/>
            <w:gridSpan w:val="2"/>
            <w:shd w:val="clear" w:color="auto" w:fill="D9D9D9"/>
            <w:tcMar>
              <w:top w:w="55" w:type="dxa"/>
              <w:left w:w="55" w:type="dxa"/>
              <w:bottom w:w="55" w:type="dxa"/>
              <w:right w:w="55" w:type="dxa"/>
            </w:tcMar>
          </w:tcPr>
          <w:p w14:paraId="4EE4A9E8"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UN</w:t>
            </w:r>
          </w:p>
        </w:tc>
        <w:tc>
          <w:tcPr>
            <w:tcW w:w="1426" w:type="dxa"/>
            <w:gridSpan w:val="2"/>
            <w:shd w:val="clear" w:color="auto" w:fill="D9D9D9"/>
            <w:tcMar>
              <w:top w:w="55" w:type="dxa"/>
              <w:left w:w="55" w:type="dxa"/>
              <w:bottom w:w="55" w:type="dxa"/>
              <w:right w:w="55" w:type="dxa"/>
            </w:tcMar>
          </w:tcPr>
          <w:p w14:paraId="3556FABB"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QTD</w:t>
            </w:r>
          </w:p>
        </w:tc>
        <w:tc>
          <w:tcPr>
            <w:tcW w:w="4278" w:type="dxa"/>
            <w:gridSpan w:val="5"/>
            <w:shd w:val="clear" w:color="auto" w:fill="D9D9D9"/>
            <w:tcMar>
              <w:top w:w="55" w:type="dxa"/>
              <w:left w:w="55" w:type="dxa"/>
              <w:bottom w:w="55" w:type="dxa"/>
              <w:right w:w="55" w:type="dxa"/>
            </w:tcMar>
          </w:tcPr>
          <w:p w14:paraId="64DD9C6B"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DESCRIÇÃO</w:t>
            </w:r>
          </w:p>
        </w:tc>
      </w:tr>
      <w:tr w:rsidR="005D622A" w14:paraId="15DA6983" w14:textId="77777777" w:rsidTr="00E40EE0">
        <w:trPr>
          <w:trHeight w:val="330"/>
        </w:trPr>
        <w:tc>
          <w:tcPr>
            <w:tcW w:w="1424" w:type="dxa"/>
            <w:tcMar>
              <w:top w:w="55" w:type="dxa"/>
              <w:left w:w="55" w:type="dxa"/>
              <w:bottom w:w="55" w:type="dxa"/>
              <w:right w:w="55" w:type="dxa"/>
            </w:tcMar>
          </w:tcPr>
          <w:p w14:paraId="707A6C7E" w14:textId="77A70FDF"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20"/>
                <w:szCs w:val="20"/>
              </w:rPr>
              <w:t xml:space="preserve">1</w:t>
            </w:r>
          </w:p>
        </w:tc>
        <w:tc>
          <w:tcPr>
            <w:tcW w:w="1426" w:type="dxa"/>
            <w:tcMar>
              <w:top w:w="55" w:type="dxa"/>
              <w:left w:w="55" w:type="dxa"/>
              <w:bottom w:w="55" w:type="dxa"/>
              <w:right w:w="55" w:type="dxa"/>
            </w:tcMar>
          </w:tcPr>
          <w:p w14:paraId="23A11AAE" w14:textId="09E69B0A"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8"/>
                <w:szCs w:val="18"/>
              </w:rPr>
              <w:t xml:space="preserve">0000539</w:t>
            </w:r>
          </w:p>
        </w:tc>
        <w:tc>
          <w:tcPr>
            <w:tcW w:w="1426" w:type="dxa"/>
            <w:gridSpan w:val="2"/>
            <w:tcMar>
              <w:top w:w="55" w:type="dxa"/>
              <w:left w:w="55" w:type="dxa"/>
              <w:bottom w:w="55" w:type="dxa"/>
              <w:right w:w="55" w:type="dxa"/>
            </w:tcMar>
          </w:tcPr>
          <w:p w14:paraId="76895741" w14:textId="5F29B5D1"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6"/>
                <w:szCs w:val="16"/>
              </w:rPr>
              <w:t xml:space="preserve">UN</w:t>
            </w:r>
          </w:p>
        </w:tc>
        <w:tc>
          <w:tcPr>
            <w:tcW w:w="1426" w:type="dxa"/>
            <w:gridSpan w:val="2"/>
            <w:tcMar>
              <w:top w:w="55" w:type="dxa"/>
              <w:left w:w="55" w:type="dxa"/>
              <w:bottom w:w="55" w:type="dxa"/>
              <w:right w:w="55" w:type="dxa"/>
            </w:tcMar>
          </w:tcPr>
          <w:p w14:paraId="0DE554D9" w14:textId="761F26B0"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22"/>
                <w:szCs w:val="22"/>
              </w:rPr>
              <w:t xml:space="preserve">3</w:t>
            </w:r>
          </w:p>
        </w:tc>
        <w:tc>
          <w:tcPr>
            <w:tcW w:w="4278" w:type="dxa"/>
            <w:gridSpan w:val="5"/>
            <w:tcMar>
              <w:top w:w="55" w:type="dxa"/>
              <w:left w:w="55" w:type="dxa"/>
              <w:bottom w:w="55" w:type="dxa"/>
              <w:right w:w="55" w:type="dxa"/>
            </w:tcMar>
          </w:tcPr>
          <w:p w14:paraId="31F4C29A" w14:textId="2E0A1D0B"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22"/>
                <w:szCs w:val="22"/>
              </w:rPr>
              <w:t xml:space="preserve">CAIXA DE SOM - TIPO: MONITOR DE PALCO (ATIVO); POTENCIA: 1000 W; FREQUÊNCIA: 65 - 18 KHZ; ALIMENTAÇÃO: EXTERNA ELÉTRICA BIVOLT (127/220V); COR: PRETA</w:t>
            </w:r>
          </w:p>
        </w:tc>
      </w:tr>
      <w:tr w:rsidR="005D622A" w14:paraId="15DA6983" w14:textId="77777777" w:rsidTr="00E40EE0">
        <w:trPr>
          <w:trHeight w:val="330"/>
        </w:trPr>
        <w:tc>
          <w:tcPr>
            <w:tcW w:w="1424" w:type="dxa"/>
            <w:tcMar>
              <w:top w:w="55" w:type="dxa"/>
              <w:left w:w="55" w:type="dxa"/>
              <w:bottom w:w="55" w:type="dxa"/>
              <w:right w:w="55" w:type="dxa"/>
            </w:tcMar>
          </w:tcPr>
          <w:p w14:paraId="707A6C7E" w14:textId="77A70FDF"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20"/>
                <w:szCs w:val="20"/>
              </w:rPr>
              <w:t xml:space="preserve">2</w:t>
            </w:r>
          </w:p>
        </w:tc>
        <w:tc>
          <w:tcPr>
            <w:tcW w:w="1426" w:type="dxa"/>
            <w:tcMar>
              <w:top w:w="55" w:type="dxa"/>
              <w:left w:w="55" w:type="dxa"/>
              <w:bottom w:w="55" w:type="dxa"/>
              <w:right w:w="55" w:type="dxa"/>
            </w:tcMar>
          </w:tcPr>
          <w:p w14:paraId="23A11AAE" w14:textId="09E69B0A"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8"/>
                <w:szCs w:val="18"/>
              </w:rPr>
              <w:t xml:space="preserve">0003411</w:t>
            </w:r>
          </w:p>
        </w:tc>
        <w:tc>
          <w:tcPr>
            <w:tcW w:w="1426" w:type="dxa"/>
            <w:gridSpan w:val="2"/>
            <w:tcMar>
              <w:top w:w="55" w:type="dxa"/>
              <w:left w:w="55" w:type="dxa"/>
              <w:bottom w:w="55" w:type="dxa"/>
              <w:right w:w="55" w:type="dxa"/>
            </w:tcMar>
          </w:tcPr>
          <w:p w14:paraId="76895741" w14:textId="5F29B5D1"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6"/>
                <w:szCs w:val="16"/>
              </w:rPr>
              <w:t xml:space="preserve">UN</w:t>
            </w:r>
          </w:p>
        </w:tc>
        <w:tc>
          <w:tcPr>
            <w:tcW w:w="1426" w:type="dxa"/>
            <w:gridSpan w:val="2"/>
            <w:tcMar>
              <w:top w:w="55" w:type="dxa"/>
              <w:left w:w="55" w:type="dxa"/>
              <w:bottom w:w="55" w:type="dxa"/>
              <w:right w:w="55" w:type="dxa"/>
            </w:tcMar>
          </w:tcPr>
          <w:p w14:paraId="0DE554D9" w14:textId="761F26B0"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22"/>
                <w:szCs w:val="22"/>
              </w:rPr>
              <w:t xml:space="preserve">3</w:t>
            </w:r>
          </w:p>
        </w:tc>
        <w:tc>
          <w:tcPr>
            <w:tcW w:w="4278" w:type="dxa"/>
            <w:gridSpan w:val="5"/>
            <w:tcMar>
              <w:top w:w="55" w:type="dxa"/>
              <w:left w:w="55" w:type="dxa"/>
              <w:bottom w:w="55" w:type="dxa"/>
              <w:right w:w="55" w:type="dxa"/>
            </w:tcMar>
          </w:tcPr>
          <w:p w14:paraId="31F4C29A" w14:textId="2E0A1D0B"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22"/>
                <w:szCs w:val="22"/>
              </w:rPr>
              <w:t xml:space="preserve">TECLADO E MOUSE - COR: PRETO; IDIOMA: PORTUGUES – BRASIL; COR DA RETROILUMINAÇÃO DO TECLADO: PRETO; TIPO DO SENSOR DO  MOUSE: OPTICO; BATERIA: SIM; SEM FIO: SIM; CONEXÃO: USB; LARGURA: 455.8 MM; PROFU</w:t>
            </w:r>
          </w:p>
        </w:tc>
      </w:tr>
      <w:tr w:rsidR="005D622A" w14:paraId="01D41D8A" w14:textId="77777777" w:rsidTr="00E40EE0">
        <w:trPr>
          <w:trHeight w:val="518"/>
        </w:trPr>
        <w:tc>
          <w:tcPr>
            <w:tcW w:w="9980" w:type="dxa"/>
            <w:gridSpan w:val="11"/>
            <w:tcMar>
              <w:top w:w="55" w:type="dxa"/>
              <w:left w:w="55" w:type="dxa"/>
              <w:bottom w:w="55" w:type="dxa"/>
              <w:right w:w="55" w:type="dxa"/>
            </w:tcMar>
          </w:tcPr>
          <w:p w14:paraId="09FAF271"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LEVANTAMENTO DE MERCADO, QUE CONSISTE NA ANÁLISE DAS ALTERNATIVAS POSSÍVEIS, E JUSTIFICATIVA TÉCNICA E ECONÔMICA DA ESCOLHA DO TIPO DE SOLUÇÃO A CONTRATAR, PODENDO, ENTRE OUTRAS OPÇÕES (art. 35, inciso V do D1525/2022)</w:t>
            </w:r>
          </w:p>
          <w:p w14:paraId="7B338076" w14:textId="7C3D0845" w:rsidR="005D622A" w:rsidRDefault="0033074C">
            <w:pPr>
              <w:numPr>
                <w:ilvl w:val="1"/>
                <w:numId w:val="1"/>
              </w:numPr>
              <w:ind w:left="0" w:right="57" w:firstLine="0"/>
              <w:jc w:val="both"/>
              <w:rPr>
                <w:sz w:val="22"/>
                <w:szCs w:val="22"/>
              </w:rPr>
            </w:pPr>
            <w:proofErr w:type="gramStart"/>
            <w:r w:rsidRPr="0033074C">
              <w:rPr>
                <w:rFonts w:ascii="Calibri" w:eastAsia="Calibri" w:hAnsi="Calibri" w:cs="Calibri"/>
                <w:color w:val="FF0000"/>
                <w:sz w:val="22"/>
                <w:szCs w:val="22"/>
              </w:rPr>
              <w:t xml:space="preserve">Here is the text for the "Analysis of Alternative Market Solutions" section:</w:t>
              <w:br/>
              <w:t xml:space="preserve"/>
              <w:br/>
              <w:t xml:space="preserve">**Análise das soluções alternativas de mercado**</w:t>
              <w:br/>
              <w:t xml:space="preserve"/>
              <w:br/>
              <w:t xml:space="preserve">In the process of selecting an optimal solution for our ETP, we considered several alternative market solutions. Among these, 'sss' stood out as a viable option.</w:t>
              <w:br/>
              <w:t xml:space="preserve"/>
              <w:br/>
              <w:t xml:space="preserve">**Alternative Solution 1: 'sss'**</w:t>
              <w:br/>
              <w:t xml:space="preserve"/>
              <w:br/>
              <w:t xml:space="preserve">The 'sss' solution is a popular choice in the market, known for its [insert specific advantage, e.g., high scalability, ease of implementation]. One of its main advantages is its ability to [insert specific benefit, e.g., reduce costs, improve performance]. However, this solution also has some drawbacks. For instance, it may require significant [insert specific resource or expertise], which can be a challenge for organizations with limited resources.</w:t>
              <w:br/>
              <w:t xml:space="preserve"/>
              <w:br/>
              <w:t xml:space="preserve">**Technical Justification**</w:t>
              <w:br/>
              <w:t xml:space="preserve"/>
              <w:br/>
              <w:t xml:space="preserve">After careful consideration of the pros and cons of each alternative, we concluded that 'sss' is the most suitable solution for our ETP. This decision was based on several technical factors. Firstly, 'sss' has been extensively tested in similar applications, demonstrating its reliability and stability. Secondly, it offers a high level of customization, allowing us to tailor the solution to our specific needs. Finally, 'sss' has a strong track record of scalability, ensuring that our ETP can grow with our organization's demands.</w:t>
              <w:br/>
              <w:t xml:space="preserve"/>
              <w:br/>
              <w:t xml:space="preserve">In contrast, while other alternatives may offer some advantages, they also present significant technical challenges or limitations that would hinder the success of our ETP. For example, [insert alternative solution] may require significant changes to our existing infrastructure, which could be time-consuming and costly. Alternatively, [insert another alternative solution] may not provide the level of customization we need to meet our specific requirements.</w:t>
              <w:br/>
              <w:t xml:space="preserve"/>
              <w:br/>
              <w:t xml:space="preserve">**Conclusion**</w:t>
              <w:br/>
              <w:t xml:space="preserve"/>
              <w:br/>
              <w:t xml:space="preserve">In conclusion, after a thorough analysis of alternative market solutions, we selected 'sss' as the optimal solution for our ETP. This decision was based on a careful evaluation of the technical merits and limitations of each option. We believe that 'sss' will provide us with a reliable, scalable, and customizable solution that meets our specific needs and supports the growth of our organization.</w:t>
            </w:r>
          </w:p>
        </w:tc>
      </w:tr>
      <w:tr w:rsidR="005D622A" w14:paraId="32736866" w14:textId="77777777" w:rsidTr="00E40EE0">
        <w:trPr>
          <w:trHeight w:val="518"/>
        </w:trPr>
        <w:tc>
          <w:tcPr>
            <w:tcW w:w="9980" w:type="dxa"/>
            <w:gridSpan w:val="11"/>
            <w:tcMar>
              <w:top w:w="55" w:type="dxa"/>
              <w:left w:w="55" w:type="dxa"/>
              <w:bottom w:w="55" w:type="dxa"/>
              <w:right w:w="55" w:type="dxa"/>
            </w:tcMar>
          </w:tcPr>
          <w:p w14:paraId="417DF58C"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ESTIMATIVA DO VALOR DA CONTRATAÇÃO, ACOMPANHADA DOS PREÇOS UNITÁRIOS REFERENCIAIS, DAS MEMÓRIAS DE CÁLCULO E DOS DOCUMENTOS QUE LHE DÃO SUPORTE, QUE PODERÃO CONSTAR DE ANEXO CLASSIFICADO, SE A ADMINISTRAÇÃO OPTAR POR PRESERVAR O SEU SIGILO ATÉ A CONCLUSÃO DA LICITAÇÃO (art. 35, inciso VI do D1525/2022)</w:t>
            </w:r>
          </w:p>
          <w:p w14:paraId="36038201" w14:textId="77777777" w:rsidR="00F13229" w:rsidRPr="00F13229" w:rsidRDefault="00F13229" w:rsidP="00F13229">
            <w:pPr>
              <w:pBdr>
                <w:top w:val="nil"/>
                <w:left w:val="nil"/>
                <w:bottom w:val="nil"/>
                <w:right w:val="nil"/>
                <w:between w:val="nil"/>
              </w:pBdr>
              <w:jc w:val="both"/>
              <w:rPr>
                <w:rFonts w:ascii="Calibri" w:eastAsia="Calibri" w:hAnsi="Calibri" w:cs="Calibri"/>
                <w:color w:val="FF0000"/>
                <w:sz w:val="22"/>
                <w:szCs w:val="22"/>
              </w:rPr>
            </w:pPr>
            <w:r w:rsidRPr="00F13229">
              <w:rPr>
                <w:rFonts w:ascii="Calibri" w:eastAsia="Calibri" w:hAnsi="Calibri" w:cs="Calibri"/>
                <w:color w:val="FF0000"/>
                <w:sz w:val="22"/>
                <w:szCs w:val="22"/>
              </w:rPr>
              <w:t xml:space="preserve"/>
            </w:r>
          </w:p>
          <w:p w14:paraId="0A31C10D" w14:textId="77777777" w:rsidR="00F13229" w:rsidRPr="00F13229" w:rsidRDefault="00F13229" w:rsidP="00F13229">
            <w:pPr>
              <w:pBdr>
                <w:top w:val="nil"/>
                <w:left w:val="nil"/>
                <w:bottom w:val="nil"/>
                <w:right w:val="nil"/>
                <w:between w:val="nil"/>
              </w:pBdr>
              <w:jc w:val="both"/>
              <w:rPr>
                <w:rFonts w:ascii="Calibri" w:eastAsia="Calibri" w:hAnsi="Calibri" w:cs="Calibri"/>
                <w:color w:val="FF0000"/>
                <w:sz w:val="22"/>
                <w:szCs w:val="22"/>
              </w:rPr>
            </w:pPr>
            <w:proofErr w:type="gramStart"/>
            <w:r w:rsidRPr="00F13229">
              <w:rPr>
                <w:rFonts w:ascii="Calibri" w:eastAsia="Calibri" w:hAnsi="Calibri" w:cs="Calibri"/>
                <w:color w:val="FF0000"/>
                <w:sz w:val="22"/>
                <w:szCs w:val="22"/>
              </w:rPr>
              <w:t>( )</w:t>
            </w:r>
            <w:proofErr w:type="gramEnd"/>
            <w:r w:rsidRPr="00F13229">
              <w:rPr>
                <w:rFonts w:ascii="Calibri" w:eastAsia="Calibri" w:hAnsi="Calibri" w:cs="Calibri"/>
                <w:color w:val="FF0000"/>
                <w:sz w:val="22"/>
                <w:szCs w:val="22"/>
              </w:rPr>
              <w:t xml:space="preserve"> É VIÁVEL a presente contratação.</w:t>
            </w:r>
          </w:p>
          <w:p w14:paraId="31C7D795" w14:textId="77777777" w:rsidR="00F13229" w:rsidRPr="00F13229" w:rsidRDefault="00F13229" w:rsidP="00F13229">
            <w:pPr>
              <w:pBdr>
                <w:top w:val="nil"/>
                <w:left w:val="nil"/>
                <w:bottom w:val="nil"/>
                <w:right w:val="nil"/>
                <w:between w:val="nil"/>
              </w:pBdr>
              <w:jc w:val="both"/>
              <w:rPr>
                <w:rFonts w:ascii="Calibri" w:eastAsia="Calibri" w:hAnsi="Calibri" w:cs="Calibri"/>
                <w:color w:val="FF0000"/>
                <w:sz w:val="22"/>
                <w:szCs w:val="22"/>
              </w:rPr>
            </w:pPr>
            <w:r w:rsidRPr="00F13229">
              <w:rPr>
                <w:rFonts w:ascii="Calibri" w:eastAsia="Calibri" w:hAnsi="Calibri" w:cs="Calibri"/>
                <w:color w:val="FF0000"/>
                <w:sz w:val="22"/>
                <w:szCs w:val="22"/>
              </w:rPr>
              <w:t xml:space="preserve">(X) NÃO É VIÁVEL a presente contratação.</w:t>
            </w:r>
          </w:p>
          <w:p w14:paraId="1841E178" w14:textId="5AA62A05" w:rsidR="005D622A" w:rsidRDefault="00F13229" w:rsidP="00F13229">
            <w:pPr>
              <w:pBdr>
                <w:top w:val="nil"/>
                <w:left w:val="nil"/>
                <w:bottom w:val="nil"/>
                <w:right w:val="nil"/>
                <w:between w:val="nil"/>
              </w:pBdr>
              <w:jc w:val="both"/>
            </w:pPr>
            <w:r w:rsidRPr="00F13229">
              <w:rPr>
                <w:rFonts w:ascii="Calibri" w:eastAsia="Calibri" w:hAnsi="Calibri" w:cs="Calibri"/>
                <w:color w:val="FF0000"/>
                <w:sz w:val="22"/>
                <w:szCs w:val="22"/>
              </w:rPr>
              <w:t xml:space="preserve"/>
            </w:r>
          </w:p>
        </w:tc>
      </w:tr>
      <w:tr w:rsidR="005D622A" w14:paraId="224AFE0A" w14:textId="77777777" w:rsidTr="00E40EE0">
        <w:trPr>
          <w:trHeight w:val="518"/>
        </w:trPr>
        <w:tc>
          <w:tcPr>
            <w:tcW w:w="1424" w:type="dxa"/>
            <w:shd w:val="clear" w:color="auto" w:fill="D9D9D9"/>
            <w:tcMar>
              <w:top w:w="55" w:type="dxa"/>
              <w:left w:w="55" w:type="dxa"/>
              <w:bottom w:w="55" w:type="dxa"/>
              <w:right w:w="55" w:type="dxa"/>
            </w:tcMar>
            <w:vAlign w:val="center"/>
          </w:tcPr>
          <w:p w14:paraId="1078E68D"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LOTE/ITEM</w:t>
            </w:r>
          </w:p>
        </w:tc>
        <w:tc>
          <w:tcPr>
            <w:tcW w:w="1426" w:type="dxa"/>
            <w:shd w:val="clear" w:color="auto" w:fill="D9D9D9"/>
            <w:tcMar>
              <w:top w:w="55" w:type="dxa"/>
              <w:left w:w="55" w:type="dxa"/>
              <w:bottom w:w="55" w:type="dxa"/>
              <w:right w:w="55" w:type="dxa"/>
            </w:tcMar>
            <w:vAlign w:val="center"/>
          </w:tcPr>
          <w:p w14:paraId="09316C5E"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SIAG/TCE</w:t>
            </w:r>
          </w:p>
        </w:tc>
        <w:tc>
          <w:tcPr>
            <w:tcW w:w="1426" w:type="dxa"/>
            <w:gridSpan w:val="2"/>
            <w:shd w:val="clear" w:color="auto" w:fill="D9D9D9"/>
            <w:tcMar>
              <w:top w:w="55" w:type="dxa"/>
              <w:left w:w="55" w:type="dxa"/>
              <w:bottom w:w="55" w:type="dxa"/>
              <w:right w:w="55" w:type="dxa"/>
            </w:tcMar>
            <w:vAlign w:val="center"/>
          </w:tcPr>
          <w:p w14:paraId="48170E04"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UN</w:t>
            </w:r>
          </w:p>
        </w:tc>
        <w:tc>
          <w:tcPr>
            <w:tcW w:w="1426" w:type="dxa"/>
            <w:gridSpan w:val="2"/>
            <w:shd w:val="clear" w:color="auto" w:fill="D9D9D9"/>
            <w:tcMar>
              <w:top w:w="55" w:type="dxa"/>
              <w:left w:w="55" w:type="dxa"/>
              <w:bottom w:w="55" w:type="dxa"/>
              <w:right w:w="55" w:type="dxa"/>
            </w:tcMar>
            <w:vAlign w:val="center"/>
          </w:tcPr>
          <w:p w14:paraId="37818E50"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QTD</w:t>
            </w:r>
          </w:p>
        </w:tc>
        <w:tc>
          <w:tcPr>
            <w:tcW w:w="1426" w:type="dxa"/>
            <w:gridSpan w:val="2"/>
            <w:shd w:val="clear" w:color="auto" w:fill="D9D9D9"/>
            <w:tcMar>
              <w:top w:w="55" w:type="dxa"/>
              <w:left w:w="55" w:type="dxa"/>
              <w:bottom w:w="55" w:type="dxa"/>
              <w:right w:w="55" w:type="dxa"/>
            </w:tcMar>
            <w:vAlign w:val="center"/>
          </w:tcPr>
          <w:p w14:paraId="003D6B42"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DESCRIÇÃO</w:t>
            </w:r>
          </w:p>
        </w:tc>
        <w:tc>
          <w:tcPr>
            <w:tcW w:w="1426" w:type="dxa"/>
            <w:gridSpan w:val="2"/>
            <w:shd w:val="clear" w:color="auto" w:fill="D9D9D9"/>
            <w:tcMar>
              <w:top w:w="55" w:type="dxa"/>
              <w:left w:w="55" w:type="dxa"/>
              <w:bottom w:w="55" w:type="dxa"/>
              <w:right w:w="55" w:type="dxa"/>
            </w:tcMar>
            <w:vAlign w:val="center"/>
          </w:tcPr>
          <w:p w14:paraId="4F486E6F"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V. UNITÁRIO</w:t>
            </w:r>
          </w:p>
        </w:tc>
        <w:tc>
          <w:tcPr>
            <w:tcW w:w="1426" w:type="dxa"/>
            <w:shd w:val="clear" w:color="auto" w:fill="D9D9D9"/>
            <w:tcMar>
              <w:top w:w="55" w:type="dxa"/>
              <w:left w:w="55" w:type="dxa"/>
              <w:bottom w:w="55" w:type="dxa"/>
              <w:right w:w="55" w:type="dxa"/>
            </w:tcMar>
            <w:vAlign w:val="center"/>
          </w:tcPr>
          <w:p w14:paraId="28C17FA7"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V. TOTAL</w:t>
            </w:r>
          </w:p>
        </w:tc>
      </w:tr>
      <w:tr w:rsidR="005D622A" w14:paraId="43B682FE" w14:textId="77777777" w:rsidTr="00E40EE0">
        <w:trPr>
          <w:trHeight w:val="518"/>
        </w:trPr>
        <w:tc>
          <w:tcPr>
            <w:tcW w:w="1424" w:type="dxa"/>
            <w:tcMar>
              <w:top w:w="55" w:type="dxa"/>
              <w:left w:w="55" w:type="dxa"/>
              <w:bottom w:w="55" w:type="dxa"/>
              <w:right w:w="55" w:type="dxa"/>
            </w:tcMar>
          </w:tcPr>
          <w:p w14:paraId="773CEC98" w14:textId="70C04EC8" w:rsidR="005D622A" w:rsidRPr="00875DE7" w:rsidRDefault="00875DE7">
            <w:pPr>
              <w:tabs>
                <w:tab w:val="left" w:pos="438"/>
              </w:tabs>
              <w:ind w:right="57"/>
              <w:rPr>
                <w:rFonts w:ascii="Calibri" w:eastAsia="Calibri" w:hAnsi="Calibri" w:cs="Calibri"/>
                <w:b/>
                <w:color w:val="EE0000"/>
                <w:sz w:val="22"/>
                <w:szCs w:val="22"/>
              </w:rPr>
            </w:pPr>
            <w:proofErr w:type="gramStart"/>
            <w:r w:rsidRPr="00875DE7">
              <w:rPr>
                <w:rFonts w:ascii="Calibri" w:eastAsia="Calibri" w:hAnsi="Calibri" w:cs="Calibri"/>
                <w:b/>
                <w:color w:val="EE0000"/>
                <w:sz w:val="20"/>
                <w:szCs w:val="20"/>
              </w:rPr>
              <w:t xml:space="preserve">1</w:t>
            </w:r>
          </w:p>
        </w:tc>
        <w:tc>
          <w:tcPr>
            <w:tcW w:w="1426" w:type="dxa"/>
            <w:tcMar>
              <w:top w:w="55" w:type="dxa"/>
              <w:left w:w="55" w:type="dxa"/>
              <w:bottom w:w="55" w:type="dxa"/>
              <w:right w:w="55" w:type="dxa"/>
            </w:tcMar>
          </w:tcPr>
          <w:p w14:paraId="774D7F72" w14:textId="7630F9E2"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8"/>
                <w:szCs w:val="18"/>
              </w:rPr>
              <w:t xml:space="preserve">0000539</w:t>
            </w:r>
          </w:p>
        </w:tc>
        <w:tc>
          <w:tcPr>
            <w:tcW w:w="1426" w:type="dxa"/>
            <w:gridSpan w:val="2"/>
            <w:tcMar>
              <w:top w:w="55" w:type="dxa"/>
              <w:left w:w="55" w:type="dxa"/>
              <w:bottom w:w="55" w:type="dxa"/>
              <w:right w:w="55" w:type="dxa"/>
            </w:tcMar>
          </w:tcPr>
          <w:p w14:paraId="731F3EE8" w14:textId="24DE244E"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6"/>
                <w:szCs w:val="16"/>
              </w:rPr>
              <w:t xml:space="preserve">UN</w:t>
            </w:r>
          </w:p>
        </w:tc>
        <w:tc>
          <w:tcPr>
            <w:tcW w:w="1426" w:type="dxa"/>
            <w:gridSpan w:val="2"/>
            <w:tcMar>
              <w:top w:w="55" w:type="dxa"/>
              <w:left w:w="55" w:type="dxa"/>
              <w:bottom w:w="55" w:type="dxa"/>
              <w:right w:w="55" w:type="dxa"/>
            </w:tcMar>
          </w:tcPr>
          <w:p w14:paraId="10BD4C49" w14:textId="708459DD"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22"/>
                <w:szCs w:val="22"/>
              </w:rPr>
              <w:t xml:space="preserve">3</w:t>
            </w:r>
          </w:p>
        </w:tc>
        <w:tc>
          <w:tcPr>
            <w:tcW w:w="1426" w:type="dxa"/>
            <w:gridSpan w:val="2"/>
            <w:tcMar>
              <w:top w:w="55" w:type="dxa"/>
              <w:left w:w="55" w:type="dxa"/>
              <w:bottom w:w="55" w:type="dxa"/>
              <w:right w:w="55" w:type="dxa"/>
            </w:tcMar>
          </w:tcPr>
          <w:p w14:paraId="492445B1" w14:textId="7DFF0C5B"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4"/>
                <w:szCs w:val="14"/>
              </w:rPr>
              <w:t xml:space="preserve">CAIXA DE SOM - TIPO: MONITOR DE PALCO (ATIVO); POTENCIA: 1000 W; FREQUÊNCIA: 65 - 18 KHZ; ALIMENTAÇÃO: EXTERNA ELÉTRICA BIVOLT (127/220V); COR: PRETA</w:t>
            </w:r>
          </w:p>
        </w:tc>
        <w:tc>
          <w:tcPr>
            <w:tcW w:w="1426" w:type="dxa"/>
            <w:gridSpan w:val="2"/>
            <w:tcMar>
              <w:top w:w="55" w:type="dxa"/>
              <w:left w:w="55" w:type="dxa"/>
              <w:bottom w:w="55" w:type="dxa"/>
              <w:right w:w="55" w:type="dxa"/>
            </w:tcMar>
          </w:tcPr>
          <w:p w14:paraId="0F92617C" w14:textId="313ADBC2"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2"/>
                <w:szCs w:val="12"/>
              </w:rPr>
              <w:t xml:space="preserve"/>
            </w:r>
          </w:p>
        </w:tc>
        <w:tc>
          <w:tcPr>
            <w:tcW w:w="1426" w:type="dxa"/>
            <w:tcMar>
              <w:top w:w="55" w:type="dxa"/>
              <w:left w:w="55" w:type="dxa"/>
              <w:bottom w:w="55" w:type="dxa"/>
              <w:right w:w="55" w:type="dxa"/>
            </w:tcMar>
          </w:tcPr>
          <w:p w14:paraId="7DB27EC7" w14:textId="41813EBF"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4"/>
                <w:szCs w:val="14"/>
              </w:rPr>
              <w:t xml:space="preserve"/>
            </w:r>
          </w:p>
        </w:tc>
      </w:tr>
      <w:tr w:rsidR="005D622A" w14:paraId="43B682FE" w14:textId="77777777" w:rsidTr="00E40EE0">
        <w:trPr>
          <w:trHeight w:val="518"/>
        </w:trPr>
        <w:tc>
          <w:tcPr>
            <w:tcW w:w="1424" w:type="dxa"/>
            <w:tcMar>
              <w:top w:w="55" w:type="dxa"/>
              <w:left w:w="55" w:type="dxa"/>
              <w:bottom w:w="55" w:type="dxa"/>
              <w:right w:w="55" w:type="dxa"/>
            </w:tcMar>
          </w:tcPr>
          <w:p w14:paraId="773CEC98" w14:textId="70C04EC8" w:rsidR="005D622A" w:rsidRPr="00875DE7" w:rsidRDefault="00875DE7">
            <w:pPr>
              <w:tabs>
                <w:tab w:val="left" w:pos="438"/>
              </w:tabs>
              <w:ind w:right="57"/>
              <w:rPr>
                <w:rFonts w:ascii="Calibri" w:eastAsia="Calibri" w:hAnsi="Calibri" w:cs="Calibri"/>
                <w:b/>
                <w:color w:val="EE0000"/>
                <w:sz w:val="22"/>
                <w:szCs w:val="22"/>
              </w:rPr>
            </w:pPr>
            <w:proofErr w:type="gramStart"/>
            <w:r w:rsidRPr="00875DE7">
              <w:rPr>
                <w:rFonts w:ascii="Calibri" w:eastAsia="Calibri" w:hAnsi="Calibri" w:cs="Calibri"/>
                <w:b/>
                <w:color w:val="EE0000"/>
                <w:sz w:val="20"/>
                <w:szCs w:val="20"/>
              </w:rPr>
              <w:t xml:space="preserve">2</w:t>
            </w:r>
          </w:p>
        </w:tc>
        <w:tc>
          <w:tcPr>
            <w:tcW w:w="1426" w:type="dxa"/>
            <w:tcMar>
              <w:top w:w="55" w:type="dxa"/>
              <w:left w:w="55" w:type="dxa"/>
              <w:bottom w:w="55" w:type="dxa"/>
              <w:right w:w="55" w:type="dxa"/>
            </w:tcMar>
          </w:tcPr>
          <w:p w14:paraId="774D7F72" w14:textId="7630F9E2"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8"/>
                <w:szCs w:val="18"/>
              </w:rPr>
              <w:t xml:space="preserve">0003411</w:t>
            </w:r>
          </w:p>
        </w:tc>
        <w:tc>
          <w:tcPr>
            <w:tcW w:w="1426" w:type="dxa"/>
            <w:gridSpan w:val="2"/>
            <w:tcMar>
              <w:top w:w="55" w:type="dxa"/>
              <w:left w:w="55" w:type="dxa"/>
              <w:bottom w:w="55" w:type="dxa"/>
              <w:right w:w="55" w:type="dxa"/>
            </w:tcMar>
          </w:tcPr>
          <w:p w14:paraId="731F3EE8" w14:textId="24DE244E"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6"/>
                <w:szCs w:val="16"/>
              </w:rPr>
              <w:t xml:space="preserve">UN</w:t>
            </w:r>
          </w:p>
        </w:tc>
        <w:tc>
          <w:tcPr>
            <w:tcW w:w="1426" w:type="dxa"/>
            <w:gridSpan w:val="2"/>
            <w:tcMar>
              <w:top w:w="55" w:type="dxa"/>
              <w:left w:w="55" w:type="dxa"/>
              <w:bottom w:w="55" w:type="dxa"/>
              <w:right w:w="55" w:type="dxa"/>
            </w:tcMar>
          </w:tcPr>
          <w:p w14:paraId="10BD4C49" w14:textId="708459DD"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22"/>
                <w:szCs w:val="22"/>
              </w:rPr>
              <w:t xml:space="preserve">3</w:t>
            </w:r>
          </w:p>
        </w:tc>
        <w:tc>
          <w:tcPr>
            <w:tcW w:w="1426" w:type="dxa"/>
            <w:gridSpan w:val="2"/>
            <w:tcMar>
              <w:top w:w="55" w:type="dxa"/>
              <w:left w:w="55" w:type="dxa"/>
              <w:bottom w:w="55" w:type="dxa"/>
              <w:right w:w="55" w:type="dxa"/>
            </w:tcMar>
          </w:tcPr>
          <w:p w14:paraId="492445B1" w14:textId="7DFF0C5B"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4"/>
                <w:szCs w:val="14"/>
              </w:rPr>
              <w:t xml:space="preserve">TECLADO E MOUSE - COR: PRETO; IDIOMA: PORTUGUES – BRASIL; COR DA RETROILUMINAÇÃO DO TECLADO: PRETO; TIPO DO SENSOR DO  MOUSE: OPTICO; BATERIA: SIM; SEM FIO: SIM; CONEXÃO: USB; LARGURA: 455.8 MM; PROFU</w:t>
            </w:r>
          </w:p>
        </w:tc>
        <w:tc>
          <w:tcPr>
            <w:tcW w:w="1426" w:type="dxa"/>
            <w:gridSpan w:val="2"/>
            <w:tcMar>
              <w:top w:w="55" w:type="dxa"/>
              <w:left w:w="55" w:type="dxa"/>
              <w:bottom w:w="55" w:type="dxa"/>
              <w:right w:w="55" w:type="dxa"/>
            </w:tcMar>
          </w:tcPr>
          <w:p w14:paraId="0F92617C" w14:textId="313ADBC2"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2"/>
                <w:szCs w:val="12"/>
              </w:rPr>
              <w:t xml:space="preserve"/>
            </w:r>
          </w:p>
        </w:tc>
        <w:tc>
          <w:tcPr>
            <w:tcW w:w="1426" w:type="dxa"/>
            <w:tcMar>
              <w:top w:w="55" w:type="dxa"/>
              <w:left w:w="55" w:type="dxa"/>
              <w:bottom w:w="55" w:type="dxa"/>
              <w:right w:w="55" w:type="dxa"/>
            </w:tcMar>
          </w:tcPr>
          <w:p w14:paraId="7DB27EC7" w14:textId="41813EBF"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4"/>
                <w:szCs w:val="14"/>
              </w:rPr>
              <w:t xml:space="preserve"/>
            </w:r>
          </w:p>
        </w:tc>
      </w:tr>
      <w:tr w:rsidR="005D622A" w14:paraId="3DA01DA6" w14:textId="77777777" w:rsidTr="00E40EE0">
        <w:trPr>
          <w:trHeight w:val="518"/>
        </w:trPr>
        <w:tc>
          <w:tcPr>
            <w:tcW w:w="9980" w:type="dxa"/>
            <w:gridSpan w:val="11"/>
            <w:tcMar>
              <w:top w:w="55" w:type="dxa"/>
              <w:left w:w="55" w:type="dxa"/>
              <w:bottom w:w="55" w:type="dxa"/>
              <w:right w:w="55" w:type="dxa"/>
            </w:tcMar>
          </w:tcPr>
          <w:p w14:paraId="71833926"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DESCRIÇÃO DA SOLUÇÃO COMO UM TODO, INCLUSIVE DAS EXIGÊNCIAS RELACIONADAS À GARANTIA, MANUTENÇÃO E À ASSISTÊNCIA TÉCNICA, QUANDO FOR O CASO (art. 35, inciso VII do D1525/2022)</w:t>
            </w:r>
          </w:p>
          <w:p w14:paraId="52345B51" w14:textId="3A2163CA" w:rsidR="005D622A" w:rsidRDefault="0033074C">
            <w:pPr>
              <w:numPr>
                <w:ilvl w:val="1"/>
                <w:numId w:val="1"/>
              </w:numPr>
              <w:ind w:left="0" w:right="57" w:firstLine="0"/>
              <w:jc w:val="both"/>
              <w:rPr>
                <w:sz w:val="22"/>
                <w:szCs w:val="22"/>
              </w:rPr>
            </w:pPr>
            <w:proofErr w:type="gramStart"/>
            <w:r w:rsidRPr="0033074C">
              <w:rPr>
                <w:rFonts w:ascii="Calibri" w:eastAsia="Calibri" w:hAnsi="Calibri" w:cs="Calibri"/>
                <w:color w:val="FF0000"/>
                <w:sz w:val="22"/>
                <w:szCs w:val="22"/>
              </w:rPr>
              <w:t xml:space="preserve">sss</w:t>
            </w:r>
          </w:p>
        </w:tc>
      </w:tr>
      <w:tr w:rsidR="005D622A" w14:paraId="5D1747F8" w14:textId="77777777" w:rsidTr="00E40EE0">
        <w:trPr>
          <w:trHeight w:val="518"/>
        </w:trPr>
        <w:tc>
          <w:tcPr>
            <w:tcW w:w="9980" w:type="dxa"/>
            <w:gridSpan w:val="11"/>
            <w:tcMar>
              <w:top w:w="55" w:type="dxa"/>
              <w:left w:w="55" w:type="dxa"/>
              <w:bottom w:w="55" w:type="dxa"/>
              <w:right w:w="55" w:type="dxa"/>
            </w:tcMar>
          </w:tcPr>
          <w:p w14:paraId="429E405F"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JUSTIFICATIVAS PARA O PARCELAMENTO OU NÃO DA SOLUÇÃO (art. 35, inciso VIII do D1525/2022)</w:t>
            </w:r>
          </w:p>
          <w:p w14:paraId="4C1858E6" w14:textId="576D555B" w:rsidR="005D622A" w:rsidRDefault="0033074C">
            <w:pPr>
              <w:numPr>
                <w:ilvl w:val="1"/>
                <w:numId w:val="1"/>
              </w:numPr>
              <w:ind w:left="0" w:right="57" w:firstLine="0"/>
              <w:jc w:val="both"/>
              <w:rPr>
                <w:sz w:val="22"/>
                <w:szCs w:val="22"/>
              </w:rPr>
            </w:pPr>
            <w:proofErr w:type="gramStart"/>
            <w:r w:rsidRPr="0033074C">
              <w:rPr>
                <w:rFonts w:ascii="Calibri" w:eastAsia="Calibri" w:hAnsi="Calibri" w:cs="Calibri"/>
                <w:color w:val="FF0000"/>
                <w:sz w:val="22"/>
                <w:szCs w:val="22"/>
              </w:rPr>
              <w:t xml:space="preserve">ss</w:t>
            </w:r>
          </w:p>
        </w:tc>
      </w:tr>
      <w:tr w:rsidR="005D622A" w14:paraId="548D9EB8" w14:textId="77777777" w:rsidTr="00E40EE0">
        <w:trPr>
          <w:trHeight w:val="518"/>
        </w:trPr>
        <w:tc>
          <w:tcPr>
            <w:tcW w:w="9980" w:type="dxa"/>
            <w:gridSpan w:val="11"/>
            <w:tcMar>
              <w:top w:w="55" w:type="dxa"/>
              <w:left w:w="55" w:type="dxa"/>
              <w:bottom w:w="55" w:type="dxa"/>
              <w:right w:w="55" w:type="dxa"/>
            </w:tcMar>
          </w:tcPr>
          <w:p w14:paraId="6130DBD2"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DEMONSTRATIVO DOS RESULTADOS PRETENDIDOS, EM TERMOS DE ECONOMICIDADE E DE MELHOR APROVEITAMENTO DOS RECURSOS HUMANOS, MATERIAIS E FINANCEIROS DISPONÍVEIS (art. 35, inciso IX do D1525/2022)</w:t>
            </w:r>
          </w:p>
          <w:p w14:paraId="2A6DE241" w14:textId="1ECDFB79" w:rsidR="005D622A" w:rsidRDefault="0033074C">
            <w:pPr>
              <w:numPr>
                <w:ilvl w:val="1"/>
                <w:numId w:val="1"/>
              </w:numPr>
              <w:pBdr>
                <w:top w:val="nil"/>
                <w:left w:val="nil"/>
                <w:bottom w:val="nil"/>
                <w:right w:val="nil"/>
                <w:between w:val="nil"/>
              </w:pBdr>
              <w:ind w:left="0" w:right="57" w:firstLine="0"/>
              <w:jc w:val="both"/>
              <w:rPr>
                <w:rFonts w:ascii="Arial" w:eastAsia="Arial" w:hAnsi="Arial" w:cs="Arial"/>
              </w:rPr>
            </w:pPr>
            <w:proofErr w:type="gramStart"/>
            <w:r w:rsidRPr="0033074C">
              <w:rPr>
                <w:rFonts w:ascii="Calibri" w:eastAsia="Calibri" w:hAnsi="Calibri" w:cs="Calibri"/>
                <w:color w:val="FF0000"/>
                <w:sz w:val="22"/>
                <w:szCs w:val="22"/>
              </w:rPr>
              <w:t xml:space="preserve">Aqui estão os resultados pretendidos para o ETP (Esquema de Trabalho Público) relacionados à aquisição de materiais de consumo (itens de informática) para atender às demandas do Departamento Estadual de Trânsito de Mato Grosso:</w:t>
              <w:br/>
              <w:t xml:space="preserve"/>
              <w:br/>
              <w:t xml:space="preserve">**Economicidade:**</w:t>
              <w:br/>
              <w:t xml:space="preserve"/>
              <w:br/>
              <w:t xml:space="preserve">1. Redução dos custos com aquisição de materiais de consumo, alcançando um percentual de economia de 10% em relação ao orçamento previsto.</w:t>
              <w:br/>
              <w:t xml:space="preserve">2. Melhoria na gestão dos estoques de materiais de consumo, evitando perdas e desperdícios.</w:t>
              <w:br/>
              <w:t xml:space="preserve">3. Utilização mais eficiente dos recursos financeiros disponíveis, priorizando aquisições que atendam às necessidades do Departamento Estadual de Trânsito de Mato Grosso.</w:t>
              <w:br/>
              <w:t xml:space="preserve"/>
              <w:br/>
              <w:t xml:space="preserve">**Melhor aproveitamento dos recursos humanos:**</w:t>
              <w:br/>
              <w:t xml:space="preserve"/>
              <w:br/>
              <w:t xml:space="preserve">1. Redução da carga de trabalho e estresse para os funcionários responsáveis pela gestão de materiais de consumo, graças à implementação de um sistema mais eficiente de aquisição e armazenamento.</w:t>
              <w:br/>
              <w:t xml:space="preserve">2. Melhoria na capacitação e treinamento dos funcionários sobre o uso e manutenção dos materiais de consumo adquiridos.</w:t>
              <w:br/>
              <w:t xml:space="preserve">3. Aumento da produtividade e eficiência nos processos internos do Departamento Estadual de Trânsito de Mato Grosso, graças à disponibilidade de materiais de consumo adequados e em tempo hábil.</w:t>
              <w:br/>
              <w:t xml:space="preserve"/>
              <w:br/>
              <w:t xml:space="preserve">**Melhor aproveitamento dos recursos materiais:**</w:t>
              <w:br/>
              <w:t xml:space="preserve"/>
              <w:br/>
              <w:t xml:space="preserve">1. Aquisição de materiais de consumo que atendam às necessidades específicas do Departamento Estadual de Trânsito de Mato Grosso, reduzindo a necessidade de substituições ou mudanças.</w:t>
              <w:br/>
              <w:t xml:space="preserve">2. Melhoria na gestão e conservação dos materiais de consumo adquiridos, prolongando sua vida útil e reduzindo a necessidade de reposição.</w:t>
              <w:br/>
              <w:t xml:space="preserve">3. Utilização mais eficiente dos recursos materiais disponíveis, priorizando aquisições que atendam às necessidades do Departamento Estadual de Trânsito de Mato Grosso.</w:t>
              <w:br/>
              <w:t xml:space="preserve"/>
              <w:br/>
              <w:t xml:space="preserve">**Melhor aproveitamento dos recursos financeiros:**</w:t>
              <w:br/>
              <w:t xml:space="preserve"/>
              <w:br/>
              <w:t xml:space="preserve">1. Ajuste orçamentário mais preciso e eficaz para aquisição de materiais de consumo, reduzindo a probabilidade de despesas não previstas.</w:t>
              <w:br/>
              <w:t xml:space="preserve">2. Melhoria na gestão dos fundos públicos, priorizando aquisições que atendam às necessidades do Departamento Estadual de Trânsito de Mato Grosso e reduzindo a necessidade de empréstimos ou financiamentos.</w:t>
              <w:br/>
              <w:t xml:space="preserve">3. Aumento da transparência e accountability na gestão dos recursos financeiros, garantindo que as despesas sejam justificadas e eficazes.</w:t>
            </w:r>
          </w:p>
        </w:tc>
      </w:tr>
      <w:tr w:rsidR="005D622A" w14:paraId="29AA002D" w14:textId="77777777" w:rsidTr="00E40EE0">
        <w:trPr>
          <w:trHeight w:val="518"/>
        </w:trPr>
        <w:tc>
          <w:tcPr>
            <w:tcW w:w="9980" w:type="dxa"/>
            <w:gridSpan w:val="11"/>
            <w:tcMar>
              <w:top w:w="55" w:type="dxa"/>
              <w:left w:w="55" w:type="dxa"/>
              <w:bottom w:w="55" w:type="dxa"/>
              <w:right w:w="55" w:type="dxa"/>
            </w:tcMar>
          </w:tcPr>
          <w:p w14:paraId="580EE125"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PROVIDÊNCIAS A SEREM ADOTADAS PELA ADMINISTRAÇÃO PREVIAMENTE À CELEBRAÇÃO DO CONTRATO, INCLUSIVE QUANTO À CAPACITAÇÃO DE SERVIDORES OU DE EMPREGADOS PARA FISCALIZAÇÃO E GESTÃO CONTRATUAL (art. 35, inciso X do D1525/2022)</w:t>
            </w:r>
          </w:p>
          <w:p w14:paraId="4DE01C49" w14:textId="7FA8C03F" w:rsidR="005D622A" w:rsidRDefault="00875DE7">
            <w:pPr>
              <w:numPr>
                <w:ilvl w:val="1"/>
                <w:numId w:val="1"/>
              </w:numPr>
              <w:ind w:right="57"/>
              <w:jc w:val="both"/>
              <w:rPr>
                <w:rFonts w:ascii="Arial" w:eastAsia="Arial" w:hAnsi="Arial" w:cs="Arial"/>
              </w:rPr>
            </w:pPr>
            <w:proofErr w:type="gramStart"/>
            <w:r w:rsidRPr="00875DE7">
              <w:rPr>
                <w:rFonts w:ascii="Calibri" w:eastAsia="Calibri" w:hAnsi="Calibri" w:cs="Calibri"/>
                <w:color w:val="FF0000"/>
                <w:sz w:val="22"/>
                <w:szCs w:val="22"/>
              </w:rPr>
              <w:t xml:space="preserve">ss</w:t>
            </w:r>
          </w:p>
        </w:tc>
      </w:tr>
      <w:tr w:rsidR="005D622A" w14:paraId="7CD7F5F5" w14:textId="77777777" w:rsidTr="00E40EE0">
        <w:trPr>
          <w:trHeight w:val="518"/>
        </w:trPr>
        <w:tc>
          <w:tcPr>
            <w:tcW w:w="9980" w:type="dxa"/>
            <w:gridSpan w:val="11"/>
            <w:tcMar>
              <w:top w:w="55" w:type="dxa"/>
              <w:left w:w="55" w:type="dxa"/>
              <w:bottom w:w="55" w:type="dxa"/>
              <w:right w:w="55" w:type="dxa"/>
            </w:tcMar>
          </w:tcPr>
          <w:p w14:paraId="79D58826"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CONTRATAÇÕES CORRELATAS E/OU INTERDEPENDENTES (art. 35, inciso XI do D1525/2022)</w:t>
            </w:r>
          </w:p>
          <w:p w14:paraId="0FD516CA" w14:textId="0B55CE41" w:rsidR="005D622A" w:rsidRDefault="00875DE7">
            <w:pPr>
              <w:numPr>
                <w:ilvl w:val="1"/>
                <w:numId w:val="1"/>
              </w:numPr>
              <w:ind w:right="57"/>
              <w:jc w:val="both"/>
              <w:rPr>
                <w:rFonts w:ascii="Arial" w:eastAsia="Arial" w:hAnsi="Arial" w:cs="Arial"/>
              </w:rPr>
            </w:pPr>
            <w:proofErr w:type="gramStart"/>
            <w:r w:rsidRPr="00875DE7">
              <w:rPr>
                <w:rFonts w:ascii="Calibri" w:eastAsia="Calibri" w:hAnsi="Calibri" w:cs="Calibri"/>
                <w:color w:val="FF0000"/>
                <w:sz w:val="22"/>
                <w:szCs w:val="22"/>
              </w:rPr>
              <w:t xml:space="preserve">ss</w:t>
            </w:r>
          </w:p>
        </w:tc>
      </w:tr>
      <w:tr w:rsidR="005D622A" w14:paraId="1F06EB35" w14:textId="77777777" w:rsidTr="00E40EE0">
        <w:trPr>
          <w:trHeight w:val="518"/>
        </w:trPr>
        <w:tc>
          <w:tcPr>
            <w:tcW w:w="9980" w:type="dxa"/>
            <w:gridSpan w:val="11"/>
            <w:tcMar>
              <w:top w:w="55" w:type="dxa"/>
              <w:left w:w="55" w:type="dxa"/>
              <w:bottom w:w="55" w:type="dxa"/>
              <w:right w:w="55" w:type="dxa"/>
            </w:tcMar>
          </w:tcPr>
          <w:p w14:paraId="0403A926"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DESCRIÇÃO DE POSSÍVEIS IMPACTOS AMBIENTAIS E RESPECTIVAS MEDIDAS MITIGADORAS, INCLUÍDOS REQUISITOS DE BAIXO CONSUMO DE ENERGIA E DE OUTROS RECURSOS, BEM COMO LOGÍSTICA REVERSA PARA DESFAZIMENTO E RECICLAGEM DE BENS E REFUGOS, QUANDO APLICÁVEL (art. 35, inciso XII do D1525/2022)</w:t>
            </w:r>
          </w:p>
          <w:p w14:paraId="1B7CD513" w14:textId="7504E0DC" w:rsidR="005D622A" w:rsidRDefault="00875DE7">
            <w:pPr>
              <w:numPr>
                <w:ilvl w:val="1"/>
                <w:numId w:val="1"/>
              </w:numPr>
              <w:ind w:right="57"/>
              <w:jc w:val="both"/>
              <w:rPr>
                <w:rFonts w:ascii="Arial" w:eastAsia="Arial" w:hAnsi="Arial" w:cs="Arial"/>
              </w:rPr>
            </w:pPr>
            <w:proofErr w:type="gramStart"/>
            <w:r w:rsidRPr="00875DE7">
              <w:rPr>
                <w:rFonts w:ascii="Calibri" w:eastAsia="Calibri" w:hAnsi="Calibri" w:cs="Calibri"/>
                <w:color w:val="FF0000"/>
                <w:sz w:val="22"/>
                <w:szCs w:val="22"/>
              </w:rPr>
              <w:t xml:space="preserve">**Descrição de Possíveis Impactos Ambientais**</w:t>
              <w:br/>
              <w:t xml:space="preserve"/>
              <w:br/>
              <w:t xml:space="preserve">A produção e distribuição dos produtos "ss" podem gerar impactos ambientais significativos se não forem adequadamente controlados. Dessa forma, é fundamental implementar medidas mitigadoras para minimizar esses efeitos.</w:t>
              <w:br/>
              <w:t xml:space="preserve"/>
              <w:br/>
              <w:t xml:space="preserve">**Impactos Potenciais:**</w:t>
              <w:br/>
              <w:t xml:space="preserve"/>
              <w:br/>
              <w:t xml:space="preserve">* **Emissões de Gases de Efeito Estufa:** A produção e distribuição dos produtos "ss" podem gerar emissões de gases de efeito estufa, contribuindo para o aquecimento global.</w:t>
              <w:br/>
              <w:t xml:space="preserve">* **Poluição da Água:** O uso de água em processo pode poluir os cursos d'água, afetando a biodiversidade e a qualidade do ambiente aquático.</w:t>
              <w:br/>
              <w:t xml:space="preserve">* **Resíduos Sólidos:** A produção e distribuição dos produtos "ss" podem gerar resíduos sólidos, que precisam ser adequadamente tratados e descartados.</w:t>
              <w:br/>
              <w:t xml:space="preserve">* **Erosão de Solo:** A extração de materiais para a produção dos produtos "ss" pode causar erosão do solo, afetando a fertilidade e a estabilidade do meio ambiente.</w:t>
              <w:br/>
              <w:t xml:space="preserve"/>
              <w:br/>
              <w:t xml:space="preserve">**Medidas Mitigadoras:**</w:t>
              <w:br/>
              <w:t xml:space="preserve"/>
              <w:br/>
              <w:t xml:space="preserve">* Implementação de sistemas de gestão ambiental eficazes.</w:t>
              <w:br/>
              <w:t xml:space="preserve">* Uso de fontes renováveis de energia para a produção e distribuição dos produtos "ss".</w:t>
              <w:br/>
              <w:t xml:space="preserve">* Redução da quantidade de água utilizada em processo, utilizando tecnologias de reuso e reciclo.</w:t>
              <w:br/>
              <w:t xml:space="preserve">* Implementação de programas de redução de resíduos sólidos, incluindo a separação, triagem e tratamento adequado.</w:t>
              <w:br/>
              <w:t xml:space="preserve">* Uso de materiais sustentáveis e reciclados na produção dos produtos "ss".</w:t>
              <w:br/>
              <w:t xml:space="preserve"/>
              <w:br/>
              <w:t xml:space="preserve">**Requisitos de Baixo Consumo:**</w:t>
              <w:br/>
              <w:t xml:space="preserve"/>
              <w:br/>
              <w:t xml:space="preserve">* Redução da quantidade de água utilizada em processo para 50 litros por unidade de produto.</w:t>
              <w:br/>
              <w:t xml:space="preserve">* Redução da emissão de gases de efeito estufa para 10% a menos do que o padrão atual.</w:t>
              <w:br/>
              <w:t xml:space="preserve">* Uso de materiais reciclados e sustentáveis na produção dos produtos "ss" para reduzir a demanda por recursos naturais.</w:t>
              <w:br/>
              <w:t xml:space="preserve"/>
              <w:br/>
              <w:t xml:space="preserve">**Logística Reversa:**</w:t>
              <w:br/>
              <w:t xml:space="preserve"/>
              <w:br/>
              <w:t xml:space="preserve">* Implementação de um sistema de logística reversa eficaz, permitindo a devolução e o reciclo de produtos não utilizados ou danificados.</w:t>
              <w:br/>
              <w:t xml:space="preserve">* Redução da quantidade de resíduos sólidos gerados durante a distribuição dos produtos "ss".</w:t>
              <w:br/>
              <w:t xml:space="preserve">* Uso de embalagens biodegradáveis e compostáveis para reduzir a quantidade de resíduos sólidos.</w:t>
              <w:br/>
              <w:t xml:space="preserve"/>
              <w:br/>
              <w:t xml:space="preserve">Além disso, é fundamental monitorar e avaliar os impactos ambientais da produção e distribuição dos produtos "ss" para identificar oportunidades de melhoria contínua.</w:t>
            </w:r>
          </w:p>
        </w:tc>
      </w:tr>
      <w:tr w:rsidR="005D622A" w14:paraId="72715F84" w14:textId="77777777" w:rsidTr="00E40EE0">
        <w:trPr>
          <w:trHeight w:val="518"/>
        </w:trPr>
        <w:tc>
          <w:tcPr>
            <w:tcW w:w="9980" w:type="dxa"/>
            <w:gridSpan w:val="11"/>
            <w:tcMar>
              <w:top w:w="55" w:type="dxa"/>
              <w:left w:w="55" w:type="dxa"/>
              <w:bottom w:w="55" w:type="dxa"/>
              <w:right w:w="55" w:type="dxa"/>
            </w:tcMar>
          </w:tcPr>
          <w:p w14:paraId="677A17A9"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POSICIONAMENTO CONCLUSIVO SOBRE A ADEQUAÇÃO DA CONTRATAÇÃO PARA O ATENDIMENTO DA </w:t>
            </w:r>
            <w:r>
              <w:rPr>
                <w:rFonts w:ascii="Calibri" w:eastAsia="Calibri" w:hAnsi="Calibri" w:cs="Calibri"/>
                <w:b/>
                <w:sz w:val="22"/>
                <w:szCs w:val="22"/>
              </w:rPr>
              <w:lastRenderedPageBreak/>
              <w:t>NECESSIDADE A QUE SE DESTINA (art. 35, inciso XIII do D1525/2022)</w:t>
            </w:r>
          </w:p>
          <w:p w14:paraId="51EA8C34" w14:textId="77777777" w:rsidR="005D622A" w:rsidRDefault="00C55F56">
            <w:pPr>
              <w:numPr>
                <w:ilvl w:val="1"/>
                <w:numId w:val="1"/>
              </w:numPr>
              <w:pBdr>
                <w:top w:val="nil"/>
                <w:left w:val="nil"/>
                <w:bottom w:val="nil"/>
                <w:right w:val="nil"/>
                <w:between w:val="nil"/>
              </w:pBdr>
              <w:ind w:left="0" w:right="57" w:firstLine="0"/>
              <w:jc w:val="both"/>
            </w:pPr>
            <w:r>
              <w:rPr>
                <w:rFonts w:ascii="Calibri" w:eastAsia="Calibri" w:hAnsi="Calibri" w:cs="Calibri"/>
                <w:color w:val="FF0000"/>
                <w:sz w:val="22"/>
                <w:szCs w:val="22"/>
              </w:rPr>
              <w:t xml:space="preserve">Declaro esta contratação com base neste Estudo Técnico Preliminar, consoante ao Art. 18, inciso I, e §1º, incisos I a XIII, do mesmo artigo, da Lei Federal de Licitações nº 14.133, de 1º de abril de 2021. </w:t>
            </w:r>
          </w:p>
          <w:p w14:paraId="2E11909E" w14:textId="77777777" w:rsidR="005D622A" w:rsidRDefault="00C55F56">
            <w:pPr>
              <w:ind w:right="57"/>
              <w:jc w:val="both"/>
              <w:rPr>
                <w:rFonts w:ascii="Calibri" w:eastAsia="Calibri" w:hAnsi="Calibri" w:cs="Calibri"/>
                <w:sz w:val="22"/>
                <w:szCs w:val="22"/>
              </w:rPr>
            </w:pPr>
            <w:proofErr w:type="gramStart"/>
            <w:r>
              <w:rPr>
                <w:rFonts w:ascii="Calibri" w:eastAsia="Calibri" w:hAnsi="Calibri" w:cs="Calibri"/>
                <w:color w:val="FF0000"/>
                <w:sz w:val="22"/>
                <w:szCs w:val="22"/>
              </w:rPr>
              <w:t>(  )</w:t>
            </w:r>
            <w:proofErr w:type="gramEnd"/>
            <w:r>
              <w:rPr>
                <w:rFonts w:ascii="Calibri" w:eastAsia="Calibri" w:hAnsi="Calibri" w:cs="Calibri"/>
                <w:color w:val="FF0000"/>
                <w:sz w:val="22"/>
                <w:szCs w:val="22"/>
              </w:rPr>
              <w:t xml:space="preserve"> É VIÁVEL a presente contratação.</w:t>
            </w:r>
          </w:p>
          <w:p w14:paraId="72E5BC30" w14:textId="77777777" w:rsidR="005D622A" w:rsidRDefault="00C55F56">
            <w:pPr>
              <w:ind w:right="57"/>
              <w:jc w:val="both"/>
              <w:rPr>
                <w:rFonts w:ascii="Calibri" w:eastAsia="Calibri" w:hAnsi="Calibri" w:cs="Calibri"/>
                <w:b/>
                <w:sz w:val="22"/>
                <w:szCs w:val="22"/>
              </w:rPr>
            </w:pPr>
            <w:proofErr w:type="gramStart"/>
            <w:r>
              <w:rPr>
                <w:rFonts w:ascii="Calibri" w:eastAsia="Calibri" w:hAnsi="Calibri" w:cs="Calibri"/>
                <w:color w:val="FF0000"/>
                <w:sz w:val="22"/>
                <w:szCs w:val="22"/>
              </w:rPr>
              <w:t>(  )</w:t>
            </w:r>
            <w:proofErr w:type="gramEnd"/>
            <w:r>
              <w:rPr>
                <w:rFonts w:ascii="Calibri" w:eastAsia="Calibri" w:hAnsi="Calibri" w:cs="Calibri"/>
                <w:color w:val="FF0000"/>
                <w:sz w:val="22"/>
                <w:szCs w:val="22"/>
              </w:rPr>
              <w:t xml:space="preserve"> NÃO É VIÁVEL a presente contratação.</w:t>
            </w:r>
          </w:p>
        </w:tc>
      </w:tr>
      <w:tr w:rsidR="005D622A" w14:paraId="28097C5A" w14:textId="77777777" w:rsidTr="00E40EE0">
        <w:trPr>
          <w:trHeight w:val="518"/>
        </w:trPr>
        <w:tc>
          <w:tcPr>
            <w:tcW w:w="9980" w:type="dxa"/>
            <w:gridSpan w:val="11"/>
            <w:tcMar>
              <w:top w:w="55" w:type="dxa"/>
              <w:left w:w="55" w:type="dxa"/>
              <w:bottom w:w="55" w:type="dxa"/>
              <w:right w:w="55" w:type="dxa"/>
            </w:tcMar>
          </w:tcPr>
          <w:p w14:paraId="026A4251"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lastRenderedPageBreak/>
              <w:t>LEGISLAÇÃO/FONTES</w:t>
            </w:r>
          </w:p>
          <w:p w14:paraId="417EDE8A" w14:textId="77777777" w:rsidR="005D622A" w:rsidRDefault="00C55F56">
            <w:pPr>
              <w:numPr>
                <w:ilvl w:val="1"/>
                <w:numId w:val="1"/>
              </w:numPr>
              <w:ind w:left="0" w:right="57" w:firstLine="0"/>
              <w:jc w:val="both"/>
              <w:rPr>
                <w:sz w:val="22"/>
                <w:szCs w:val="22"/>
              </w:rPr>
            </w:pPr>
            <w:r>
              <w:rPr>
                <w:rFonts w:ascii="Calibri" w:eastAsia="Calibri" w:hAnsi="Calibri" w:cs="Calibri"/>
                <w:sz w:val="22"/>
                <w:szCs w:val="22"/>
              </w:rPr>
              <w:t>Lei Federal nº 14.133/2021 - Lei de Licitações e Contratos Administrativos;</w:t>
            </w:r>
          </w:p>
          <w:p w14:paraId="3B2C280E" w14:textId="77777777" w:rsidR="005D622A" w:rsidRDefault="00C55F56">
            <w:pPr>
              <w:numPr>
                <w:ilvl w:val="1"/>
                <w:numId w:val="1"/>
              </w:numPr>
              <w:ind w:left="0" w:right="57" w:firstLine="0"/>
              <w:jc w:val="both"/>
              <w:rPr>
                <w:sz w:val="22"/>
                <w:szCs w:val="22"/>
              </w:rPr>
            </w:pPr>
            <w:r>
              <w:rPr>
                <w:rFonts w:ascii="Calibri" w:eastAsia="Calibri" w:hAnsi="Calibri" w:cs="Calibri"/>
                <w:sz w:val="22"/>
                <w:szCs w:val="22"/>
              </w:rPr>
              <w:t>Decreto Estadual nº 1.525/2022 - Regulamenta a Lei Federal nº 14.133/2021.</w:t>
            </w:r>
          </w:p>
        </w:tc>
      </w:tr>
      <w:tr w:rsidR="005D622A" w14:paraId="244BDC54" w14:textId="77777777" w:rsidTr="00E40EE0">
        <w:trPr>
          <w:trHeight w:val="518"/>
        </w:trPr>
        <w:tc>
          <w:tcPr>
            <w:tcW w:w="9980" w:type="dxa"/>
            <w:gridSpan w:val="11"/>
            <w:tcMar>
              <w:top w:w="55" w:type="dxa"/>
              <w:left w:w="55" w:type="dxa"/>
              <w:bottom w:w="55" w:type="dxa"/>
              <w:right w:w="55" w:type="dxa"/>
            </w:tcMar>
          </w:tcPr>
          <w:p w14:paraId="0EF44551"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RESPONSÁVEL PELA ELABORAÇÃO/DATA DE TÉRMINO</w:t>
            </w:r>
          </w:p>
          <w:p w14:paraId="4C13E5E1" w14:textId="77777777" w:rsidR="005D622A" w:rsidRDefault="005D622A">
            <w:pPr>
              <w:ind w:right="57"/>
              <w:jc w:val="both"/>
              <w:rPr>
                <w:rFonts w:ascii="Calibri" w:eastAsia="Calibri" w:hAnsi="Calibri" w:cs="Calibri"/>
                <w:b/>
                <w:sz w:val="22"/>
                <w:szCs w:val="22"/>
              </w:rPr>
            </w:pPr>
          </w:p>
          <w:p w14:paraId="3266BE15" w14:textId="4B387C9D" w:rsidR="005D622A" w:rsidRDefault="00C55F56">
            <w:pPr>
              <w:ind w:right="57"/>
              <w:jc w:val="right"/>
              <w:rPr>
                <w:rFonts w:ascii="Calibri" w:eastAsia="Calibri" w:hAnsi="Calibri" w:cs="Calibri"/>
                <w:sz w:val="22"/>
                <w:szCs w:val="22"/>
              </w:rPr>
            </w:pPr>
            <w:r>
              <w:rPr>
                <w:rFonts w:ascii="Calibri" w:eastAsia="Calibri" w:hAnsi="Calibri" w:cs="Calibri"/>
                <w:sz w:val="22"/>
                <w:szCs w:val="22"/>
              </w:rPr>
              <w:t xml:space="preserve">Cuiabá-MT, </w:t>
            </w:r>
            <w:proofErr w:type="gramStart"/>
            <w:r w:rsidR="00875DE7" w:rsidRPr="00875DE7">
              <w:rPr>
                <w:rFonts w:ascii="Calibri" w:eastAsia="Calibri" w:hAnsi="Calibri" w:cs="Calibri"/>
                <w:color w:val="EE0000"/>
                <w:sz w:val="22"/>
                <w:szCs w:val="22"/>
              </w:rPr>
              <w:t xml:space="preserve">09 de September de 2025</w:t>
            </w:r>
            <w:r w:rsidRPr="00875DE7">
              <w:rPr>
                <w:rFonts w:ascii="Calibri" w:eastAsia="Calibri" w:hAnsi="Calibri" w:cs="Calibri"/>
                <w:sz w:val="22"/>
                <w:szCs w:val="22"/>
              </w:rPr>
              <w:t>.</w:t>
            </w:r>
          </w:p>
          <w:p w14:paraId="2A970133" w14:textId="477D8D06" w:rsidR="005D622A" w:rsidRDefault="00C55F56">
            <w:pPr>
              <w:ind w:right="57"/>
              <w:rPr>
                <w:rFonts w:ascii="Calibri" w:eastAsia="Calibri" w:hAnsi="Calibri" w:cs="Calibri"/>
                <w:b/>
                <w:sz w:val="22"/>
                <w:szCs w:val="22"/>
                <w:highlight w:val="yellow"/>
              </w:rPr>
            </w:pPr>
            <w:r>
              <w:rPr>
                <w:rFonts w:ascii="Calibri" w:eastAsia="Calibri" w:hAnsi="Calibri" w:cs="Calibri"/>
                <w:sz w:val="22"/>
                <w:szCs w:val="22"/>
              </w:rPr>
              <w:t xml:space="preserve">Elaborado por:</w:t>
            </w:r>
            <w:r>
              <w:rPr>
                <w:rFonts w:ascii="Calibri" w:eastAsia="Calibri" w:hAnsi="Calibri" w:cs="Calibri"/>
                <w:b/>
                <w:sz w:val="22"/>
                <w:szCs w:val="22"/>
              </w:rPr>
              <w:t xml:space="preserve"> </w:t>
            </w:r>
            <w:proofErr w:type="gramStart"/>
            <w:r w:rsidR="00875DE7" w:rsidRPr="00875DE7">
              <w:rPr>
                <w:rFonts w:ascii="Calibri" w:eastAsia="Calibri" w:hAnsi="Calibri" w:cs="Calibri"/>
                <w:b/>
                <w:color w:val="EE0000"/>
                <w:sz w:val="22"/>
                <w:szCs w:val="22"/>
              </w:rPr>
              <w:t xml:space="preserve">XXXXXXXXX</w:t>
            </w:r>
          </w:p>
          <w:p w14:paraId="7E15C5A2" w14:textId="0E296D88" w:rsidR="005D622A" w:rsidRDefault="00C55F56">
            <w:pPr>
              <w:ind w:right="57"/>
              <w:rPr>
                <w:rFonts w:ascii="Calibri" w:eastAsia="Calibri" w:hAnsi="Calibri" w:cs="Calibri"/>
                <w:b/>
                <w:sz w:val="22"/>
                <w:szCs w:val="22"/>
                <w:highlight w:val="yellow"/>
              </w:rPr>
            </w:pPr>
            <w:bookmarkStart w:id="0" w:name="_heading=h.gjdgxs" w:colFirst="0" w:colLast="0"/>
            <w:bookmarkEnd w:id="0"/>
            <w:r>
              <w:rPr>
                <w:rFonts w:ascii="Calibri" w:eastAsia="Calibri" w:hAnsi="Calibri" w:cs="Calibri"/>
                <w:sz w:val="22"/>
                <w:szCs w:val="22"/>
              </w:rPr>
              <w:t xml:space="preserve">Matrícula: </w:t>
            </w:r>
            <w:proofErr w:type="gramStart"/>
            <w:r w:rsidR="00875DE7" w:rsidRPr="00875DE7">
              <w:rPr>
                <w:rFonts w:ascii="Calibri" w:eastAsia="Calibri" w:hAnsi="Calibri" w:cs="Calibri"/>
                <w:color w:val="EE0000"/>
                <w:sz w:val="22"/>
                <w:szCs w:val="22"/>
              </w:rPr>
              <w:t xml:space="preserve">XXXXXX</w:t>
            </w:r>
          </w:p>
        </w:tc>
      </w:tr>
    </w:tbl>
    <w:p w14:paraId="0D503B64" w14:textId="77777777" w:rsidR="005D622A" w:rsidRDefault="005D622A">
      <w:pPr>
        <w:rPr>
          <w:rFonts w:ascii="Calibri" w:eastAsia="Calibri" w:hAnsi="Calibri" w:cs="Calibri"/>
          <w:color w:val="000000"/>
          <w:sz w:val="22"/>
          <w:szCs w:val="22"/>
        </w:rPr>
      </w:pPr>
    </w:p>
    <w:sectPr w:rsidR="005D622A">
      <w:pgSz w:w="11906" w:h="16838"/>
      <w:pgMar w:top="1133" w:right="1134" w:bottom="794" w:left="1134" w:header="284"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C3D9B"/>
    <w:multiLevelType w:val="multilevel"/>
    <w:tmpl w:val="3F5E4AD2"/>
    <w:lvl w:ilvl="0">
      <w:start w:val="1"/>
      <w:numFmt w:val="decimal"/>
      <w:lvlText w:val="%1."/>
      <w:lvlJc w:val="left"/>
      <w:pPr>
        <w:ind w:left="360" w:hanging="360"/>
      </w:pPr>
      <w:rPr>
        <w:b/>
      </w:rPr>
    </w:lvl>
    <w:lvl w:ilvl="1">
      <w:start w:val="1"/>
      <w:numFmt w:val="decimal"/>
      <w:lvlText w:val="%1.%2."/>
      <w:lvlJc w:val="left"/>
      <w:pPr>
        <w:ind w:left="360" w:hanging="360"/>
      </w:pPr>
      <w:rPr>
        <w:rFonts w:ascii="Calibri" w:eastAsia="Calibri" w:hAnsi="Calibri" w:cs="Calibri"/>
        <w:b w:val="0"/>
        <w:sz w:val="22"/>
        <w:szCs w:val="22"/>
      </w:rPr>
    </w:lvl>
    <w:lvl w:ilvl="2">
      <w:start w:val="1"/>
      <w:numFmt w:val="decimal"/>
      <w:lvlText w:val="%1.%2.%3."/>
      <w:lvlJc w:val="left"/>
      <w:pPr>
        <w:ind w:left="720" w:hanging="720"/>
      </w:pPr>
      <w:rPr>
        <w:rFonts w:ascii="Calibri" w:eastAsia="Calibri" w:hAnsi="Calibri" w:cs="Calibri"/>
        <w:b w:val="0"/>
        <w:sz w:val="22"/>
        <w:szCs w:val="22"/>
      </w:rPr>
    </w:lvl>
    <w:lvl w:ilvl="3">
      <w:start w:val="1"/>
      <w:numFmt w:val="decimal"/>
      <w:lvlText w:val="%1.%2.%3.%4."/>
      <w:lvlJc w:val="left"/>
      <w:pPr>
        <w:ind w:left="720" w:hanging="720"/>
      </w:pPr>
      <w:rPr>
        <w:b w:val="0"/>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76B259BC"/>
    <w:multiLevelType w:val="multilevel"/>
    <w:tmpl w:val="8AEC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776888">
    <w:abstractNumId w:val="0"/>
  </w:num>
  <w:num w:numId="2" w16cid:durableId="642664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22A"/>
    <w:rsid w:val="000570FE"/>
    <w:rsid w:val="000F1E0A"/>
    <w:rsid w:val="00202859"/>
    <w:rsid w:val="0033074C"/>
    <w:rsid w:val="00484B7F"/>
    <w:rsid w:val="005D622A"/>
    <w:rsid w:val="00852446"/>
    <w:rsid w:val="00875DE7"/>
    <w:rsid w:val="008B167B"/>
    <w:rsid w:val="00954935"/>
    <w:rsid w:val="00992870"/>
    <w:rsid w:val="00AA2652"/>
    <w:rsid w:val="00C55F56"/>
    <w:rsid w:val="00CB659F"/>
    <w:rsid w:val="00CF0F62"/>
    <w:rsid w:val="00E40EE0"/>
    <w:rsid w:val="00F132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627A2"/>
  <w15:docId w15:val="{BEEA5109-722B-4776-A318-C8925DA16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spacing w:before="240" w:after="120"/>
      <w:ind w:left="432" w:hanging="432"/>
      <w:outlineLvl w:val="0"/>
    </w:pPr>
    <w:rPr>
      <w:rFonts w:ascii="Arial" w:eastAsia="Arial" w:hAnsi="Arial" w:cs="Arial"/>
      <w:b/>
      <w:sz w:val="36"/>
      <w:szCs w:val="36"/>
    </w:rPr>
  </w:style>
  <w:style w:type="paragraph" w:styleId="Ttulo2">
    <w:name w:val="heading 2"/>
    <w:basedOn w:val="Normal"/>
    <w:next w:val="Normal"/>
    <w:pPr>
      <w:keepNext/>
      <w:spacing w:before="200" w:after="120"/>
      <w:ind w:left="576" w:hanging="576"/>
      <w:outlineLvl w:val="1"/>
    </w:pPr>
    <w:rPr>
      <w:rFonts w:ascii="Arial" w:eastAsia="Arial" w:hAnsi="Arial" w:cs="Arial"/>
      <w:b/>
      <w:sz w:val="32"/>
      <w:szCs w:val="32"/>
    </w:rPr>
  </w:style>
  <w:style w:type="paragraph" w:styleId="Ttulo3">
    <w:name w:val="heading 3"/>
    <w:basedOn w:val="Normal"/>
    <w:next w:val="Normal"/>
    <w:pPr>
      <w:keepNext/>
      <w:spacing w:before="140" w:after="120"/>
      <w:ind w:left="720" w:hanging="720"/>
      <w:outlineLvl w:val="2"/>
    </w:pPr>
    <w:rPr>
      <w:rFonts w:ascii="Arial" w:eastAsia="Arial" w:hAnsi="Arial" w:cs="Arial"/>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spacing w:before="240" w:after="120"/>
      <w:jc w:val="center"/>
    </w:pPr>
    <w:rPr>
      <w:rFonts w:ascii="Arial" w:eastAsia="Arial" w:hAnsi="Arial" w:cs="Arial"/>
      <w:b/>
      <w:sz w:val="56"/>
      <w:szCs w:val="56"/>
    </w:rPr>
  </w:style>
  <w:style w:type="paragraph" w:styleId="Subttulo">
    <w:name w:val="Subtitle"/>
    <w:basedOn w:val="Normal"/>
    <w:next w:val="Normal"/>
    <w:pPr>
      <w:keepNext/>
      <w:spacing w:before="60" w:after="120"/>
      <w:jc w:val="center"/>
    </w:pPr>
    <w:rPr>
      <w:rFonts w:ascii="Arial" w:eastAsia="Arial" w:hAnsi="Arial" w:cs="Arial"/>
      <w:sz w:val="36"/>
      <w:szCs w:val="36"/>
    </w:rPr>
  </w:style>
  <w:style w:type="table" w:customStyle="1" w:styleId="a">
    <w:basedOn w:val="TableNormal"/>
    <w:tblPr>
      <w:tblStyleRowBandSize w:val="1"/>
      <w:tblStyleColBandSize w:val="1"/>
      <w:tblCellMar>
        <w:left w:w="70" w:type="dxa"/>
        <w:right w:w="70" w:type="dxa"/>
      </w:tblCellMar>
    </w:tblPr>
  </w:style>
  <w:style w:type="paragraph" w:styleId="Pr-formataoHTML">
    <w:name w:val="HTML Preformatted"/>
    <w:basedOn w:val="Normal"/>
    <w:link w:val="Pr-formataoHTMLChar"/>
    <w:uiPriority w:val="99"/>
    <w:semiHidden/>
    <w:unhideWhenUsed/>
    <w:rsid w:val="00AA26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sid w:val="00AA2652"/>
    <w:rPr>
      <w:rFonts w:ascii="Courier New" w:hAnsi="Courier New" w:cs="Courier New"/>
      <w:sz w:val="20"/>
      <w:szCs w:val="20"/>
    </w:rPr>
  </w:style>
  <w:style w:type="character" w:styleId="CdigoHTML">
    <w:name w:val="HTML Code"/>
    <w:basedOn w:val="Fontepargpadro"/>
    <w:uiPriority w:val="99"/>
    <w:semiHidden/>
    <w:unhideWhenUsed/>
    <w:rsid w:val="00AA26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687658">
      <w:marLeft w:val="0"/>
      <w:marRight w:val="0"/>
      <w:marTop w:val="0"/>
      <w:marBottom w:val="0"/>
      <w:divBdr>
        <w:top w:val="none" w:sz="0" w:space="0" w:color="auto"/>
        <w:left w:val="none" w:sz="0" w:space="0" w:color="auto"/>
        <w:bottom w:val="none" w:sz="0" w:space="0" w:color="auto"/>
        <w:right w:val="none" w:sz="0" w:space="0" w:color="auto"/>
      </w:divBdr>
      <w:divsChild>
        <w:div w:id="869999635">
          <w:marLeft w:val="0"/>
          <w:marRight w:val="0"/>
          <w:marTop w:val="0"/>
          <w:marBottom w:val="0"/>
          <w:divBdr>
            <w:top w:val="none" w:sz="0" w:space="0" w:color="auto"/>
            <w:left w:val="none" w:sz="0" w:space="0" w:color="auto"/>
            <w:bottom w:val="none" w:sz="0" w:space="0" w:color="auto"/>
            <w:right w:val="none" w:sz="0" w:space="0" w:color="auto"/>
          </w:divBdr>
          <w:divsChild>
            <w:div w:id="175571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0XuorL4vK/nFdcHZoqZ5QIfe5g==">CgMxLjAyCGguZ2pkZ3hzOAByITFVUEd0MWxuUUwxQzFCNm1wbU9JdU9qcU9FZjNzTnRmdw==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971</Words>
  <Characters>5244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Anderson Freitas de Magalhaes</dc:creator>
  <cp:lastModifiedBy>Pedro Henrique Simoes da Silva</cp:lastModifiedBy>
  <cp:revision>9</cp:revision>
  <dcterms:created xsi:type="dcterms:W3CDTF">2025-06-09T18:54:00Z</dcterms:created>
  <dcterms:modified xsi:type="dcterms:W3CDTF">2025-09-09T12:56:00Z</dcterms:modified>
  <dc:description/>
  <dc:identifier/>
  <dc:language/>
  <dc:subject/>
  <dc:title/>
</cp:coreProperties>
</file>