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D485D8A" w14:textId="77777777" w:rsidR="005D622A" w:rsidRDefault="005D622A">
      <w:pPr>
        <w:pBdr>
          <w:top w:val="nil"/>
          <w:left w:val="nil"/>
          <w:bottom w:val="nil"/>
          <w:right w:val="nil"/>
          <w:between w:val="nil"/>
        </w:pBdr>
        <w:spacing w:line="276" w:lineRule="auto"/>
        <w:rPr>
          <w:rFonts w:ascii="Arial" w:eastAsia="Arial" w:hAnsi="Arial" w:cs="Arial"/>
          <w:color w:val="000000"/>
          <w:sz w:val="22"/>
          <w:szCs w:val="22"/>
        </w:rPr>
      </w:pPr>
    </w:p>
    <w:tbl>
      <w:tblPr>
        <w:tblStyle w:val="a"/>
        <w:tblW w:w="9980"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24"/>
        <w:gridCol w:w="1426"/>
        <w:gridCol w:w="1279"/>
        <w:gridCol w:w="147"/>
        <w:gridCol w:w="753"/>
        <w:gridCol w:w="673"/>
        <w:gridCol w:w="744"/>
        <w:gridCol w:w="682"/>
        <w:gridCol w:w="1288"/>
        <w:gridCol w:w="138"/>
        <w:gridCol w:w="1426"/>
      </w:tblGrid>
      <w:tr w:rsidR="005D622A" w14:paraId="388ECF8F" w14:textId="77777777" w:rsidTr="00E40EE0">
        <w:trPr>
          <w:trHeight w:val="325"/>
        </w:trPr>
        <w:tc>
          <w:tcPr>
            <w:tcW w:w="9980" w:type="dxa"/>
            <w:gridSpan w:val="11"/>
            <w:vAlign w:val="center"/>
          </w:tcPr>
          <w:p w14:paraId="7C392D61" w14:textId="78582223" w:rsidR="005D622A" w:rsidRPr="00E40EE0" w:rsidRDefault="00C55F56" w:rsidP="00E40EE0">
            <w:pPr>
              <w:spacing w:before="120" w:after="120"/>
              <w:jc w:val="center"/>
              <w:rPr>
                <w:rFonts w:ascii="Calibri" w:eastAsia="Calibri" w:hAnsi="Calibri" w:cs="Calibri"/>
                <w:sz w:val="32"/>
                <w:szCs w:val="32"/>
                <w:highlight w:val="yellow"/>
              </w:rPr>
            </w:pPr>
            <w:r w:rsidRPr="00E40EE0">
              <w:rPr>
                <w:rFonts w:ascii="Calibri" w:eastAsia="Calibri" w:hAnsi="Calibri" w:cs="Calibri"/>
                <w:b/>
                <w:sz w:val="32"/>
                <w:szCs w:val="32"/>
              </w:rPr>
              <w:t xml:space="preserve">ESTUDO TÉCNICO PRELIMINAR Nº </w:t>
            </w:r>
            <w:r w:rsidR="0033074C" w:rsidRPr="0033074C">
              <w:rPr>
                <w:rFonts w:ascii="Calibri" w:eastAsia="Calibri" w:hAnsi="Calibri" w:cs="Calibri"/>
                <w:b/>
                <w:color w:val="EE0000"/>
                <w:sz w:val="32"/>
                <w:szCs w:val="32"/>
              </w:rPr>
              <w:t xml:space="preserve">003/2025</w:t>
            </w:r>
          </w:p>
        </w:tc>
      </w:tr>
      <w:tr w:rsidR="005D622A" w14:paraId="65AEF32A" w14:textId="77777777" w:rsidTr="00E40EE0">
        <w:trPr>
          <w:trHeight w:val="54"/>
        </w:trPr>
        <w:tc>
          <w:tcPr>
            <w:tcW w:w="9980" w:type="dxa"/>
            <w:gridSpan w:val="11"/>
          </w:tcPr>
          <w:p w14:paraId="59BD7B63"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 xml:space="preserve">ÁREA REQUISITANTE</w:t>
            </w:r>
          </w:p>
          <w:p w14:paraId="302A669A" w14:textId="680B9B41" w:rsidR="00E40EE0" w:rsidRDefault="0033074C">
            <w:pPr>
              <w:jc w:val="both"/>
              <w:rPr>
                <w:rFonts w:ascii="Calibri" w:eastAsia="Calibri" w:hAnsi="Calibri" w:cs="Calibri"/>
                <w:b/>
                <w:sz w:val="22"/>
                <w:szCs w:val="22"/>
              </w:rPr>
            </w:pPr>
            <w:r w:rsidRPr="0033074C">
              <w:rPr>
                <w:rFonts w:ascii="Calibri" w:eastAsia="Calibri" w:hAnsi="Calibri" w:cs="Calibri"/>
                <w:b/>
                <w:color w:val="EE0000"/>
                <w:sz w:val="22"/>
                <w:szCs w:val="22"/>
              </w:rPr>
              <w:t xml:space="preserve">COORDENADORIA DE TECNOLOGIA DA INFORMAÇÃO</w:t>
            </w:r>
          </w:p>
        </w:tc>
      </w:tr>
      <w:tr w:rsidR="005D622A" w14:paraId="7EB02734" w14:textId="77777777" w:rsidTr="00E40EE0">
        <w:trPr>
          <w:trHeight w:val="54"/>
        </w:trPr>
        <w:tc>
          <w:tcPr>
            <w:tcW w:w="5029" w:type="dxa"/>
            <w:gridSpan w:val="5"/>
            <w:shd w:val="clear" w:color="auto" w:fill="BFBFBF"/>
          </w:tcPr>
          <w:p w14:paraId="03B38E91"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ÁREA REQUISITANTE</w:t>
            </w:r>
          </w:p>
        </w:tc>
        <w:tc>
          <w:tcPr>
            <w:tcW w:w="4951" w:type="dxa"/>
            <w:gridSpan w:val="6"/>
            <w:shd w:val="clear" w:color="auto" w:fill="BFBFBF"/>
          </w:tcPr>
          <w:p w14:paraId="1A711144"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 xml:space="preserve">RESPONSÁVEL</w:t>
            </w:r>
          </w:p>
        </w:tc>
      </w:tr>
      <w:tr w:rsidR="005D622A" w14:paraId="0E732DBE" w14:textId="77777777" w:rsidTr="00E40EE0">
        <w:trPr>
          <w:trHeight w:val="54"/>
        </w:trPr>
        <w:tc>
          <w:tcPr>
            <w:tcW w:w="5029" w:type="dxa"/>
            <w:gridSpan w:val="5"/>
          </w:tcPr>
          <w:p w14:paraId="26F09BD9" w14:textId="546AADA4" w:rsidR="00E40EE0" w:rsidRDefault="0033074C">
            <w:pPr>
              <w:jc w:val="both"/>
              <w:rPr>
                <w:rFonts w:ascii="Calibri" w:eastAsia="Calibri" w:hAnsi="Calibri" w:cs="Calibri"/>
                <w:sz w:val="22"/>
                <w:szCs w:val="22"/>
              </w:rPr>
            </w:pPr>
            <w:r w:rsidRPr="0033074C">
              <w:rPr>
                <w:rFonts w:ascii="Calibri" w:eastAsia="Calibri" w:hAnsi="Calibri" w:cs="Calibri"/>
                <w:color w:val="EE0000"/>
                <w:sz w:val="22"/>
                <w:szCs w:val="22"/>
              </w:rPr>
              <w:t xml:space="preserve">COORDENADORIA DE TECNOLOGIA DA INFORMAÇÃO</w:t>
            </w:r>
          </w:p>
        </w:tc>
        <w:tc>
          <w:tcPr>
            <w:tcW w:w="4951" w:type="dxa"/>
            <w:gridSpan w:val="6"/>
          </w:tcPr>
          <w:p w14:paraId="77979D1C" w14:textId="2E99C59B" w:rsidR="005D622A" w:rsidRDefault="0033074C">
            <w:pPr>
              <w:jc w:val="both"/>
              <w:rPr>
                <w:rFonts w:ascii="Calibri" w:eastAsia="Calibri" w:hAnsi="Calibri" w:cs="Calibri"/>
                <w:sz w:val="22"/>
                <w:szCs w:val="22"/>
              </w:rPr>
            </w:pPr>
            <w:r w:rsidRPr="0033074C">
              <w:rPr>
                <w:rFonts w:ascii="Calibri" w:eastAsia="Calibri" w:hAnsi="Calibri" w:cs="Calibri"/>
                <w:color w:val="EE0000"/>
                <w:sz w:val="22"/>
                <w:szCs w:val="22"/>
              </w:rPr>
              <w:t xml:space="preserve">Danilo Vieira da Cruz</w:t>
            </w:r>
          </w:p>
        </w:tc>
      </w:tr>
      <w:tr w:rsidR="005D622A" w14:paraId="46A67C6E" w14:textId="77777777" w:rsidTr="00E40EE0">
        <w:tc>
          <w:tcPr>
            <w:tcW w:w="9980" w:type="dxa"/>
            <w:gridSpan w:val="11"/>
          </w:tcPr>
          <w:p w14:paraId="73AE7B28"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INTRODUÇÃO</w:t>
            </w:r>
          </w:p>
          <w:p w14:paraId="07B7A306" w14:textId="77777777" w:rsidR="005D622A" w:rsidRDefault="00C55F56">
            <w:pPr>
              <w:numPr>
                <w:ilvl w:val="1"/>
                <w:numId w:val="1"/>
              </w:numPr>
              <w:ind w:left="0" w:firstLine="0"/>
              <w:jc w:val="both"/>
              <w:rPr>
                <w:rFonts w:ascii="Calibri" w:eastAsia="Calibri" w:hAnsi="Calibri" w:cs="Calibri"/>
                <w:sz w:val="22"/>
                <w:szCs w:val="22"/>
              </w:rPr>
            </w:pPr>
            <w:r w:rsidRPr="000570FE">
              <w:rPr>
                <w:rFonts w:ascii="Calibri" w:eastAsia="Calibri" w:hAnsi="Calibri" w:cs="Calibri"/>
                <w:sz w:val="22"/>
                <w:szCs w:val="22"/>
              </w:rPr>
              <w:t>O Estudo Técnico Preliminar (ETP) dará início a fase preparatória para a contratação de empresa para aquisição de materiais de consumo (itens</w:t>
            </w:r>
            <w:r w:rsidR="000570FE">
              <w:rPr>
                <w:rFonts w:ascii="Calibri" w:eastAsia="Calibri" w:hAnsi="Calibri" w:cs="Calibri"/>
                <w:sz w:val="22"/>
                <w:szCs w:val="22"/>
              </w:rPr>
              <w:t xml:space="preserve"> de informática</w:t>
            </w:r>
            <w:r w:rsidRPr="000570FE">
              <w:rPr>
                <w:rFonts w:ascii="Calibri" w:eastAsia="Calibri" w:hAnsi="Calibri" w:cs="Calibri"/>
                <w:sz w:val="22"/>
                <w:szCs w:val="22"/>
              </w:rPr>
              <w:t xml:space="preserve">) </w:t>
            </w:r>
            <w:r>
              <w:rPr>
                <w:rFonts w:ascii="Calibri" w:eastAsia="Calibri" w:hAnsi="Calibri" w:cs="Calibri"/>
                <w:sz w:val="22"/>
                <w:szCs w:val="22"/>
              </w:rPr>
              <w:t>para atender às demandas do Departamento Estadual de Trânsito de Mato Grosso;</w:t>
            </w:r>
          </w:p>
          <w:p w14:paraId="2AF5C977" w14:textId="77777777" w:rsidR="005D622A" w:rsidRDefault="00C55F56">
            <w:pPr>
              <w:numPr>
                <w:ilvl w:val="1"/>
                <w:numId w:val="1"/>
              </w:numPr>
              <w:ind w:left="0" w:firstLine="0"/>
              <w:jc w:val="both"/>
              <w:rPr>
                <w:rFonts w:ascii="Calibri" w:eastAsia="Calibri" w:hAnsi="Calibri" w:cs="Calibri"/>
                <w:sz w:val="22"/>
                <w:szCs w:val="22"/>
              </w:rPr>
            </w:pPr>
            <w:r>
              <w:rPr>
                <w:rFonts w:ascii="Calibri" w:eastAsia="Calibri" w:hAnsi="Calibri" w:cs="Calibri"/>
                <w:sz w:val="22"/>
                <w:szCs w:val="22"/>
              </w:rPr>
              <w:t>Compreende-se que este documento constituirá a primeira fase do planejamento da contratação, que retratará o interesse público envolvido e a sua melhor solução, servirá de base para o anteprojeto, termo de referência ou ao projeto básico a serem elaborados caso se reconheça pela viabilidade da contratação;</w:t>
            </w:r>
          </w:p>
          <w:p w14:paraId="323E9B1F" w14:textId="77777777" w:rsidR="005D622A" w:rsidRDefault="00C55F56">
            <w:pPr>
              <w:numPr>
                <w:ilvl w:val="1"/>
                <w:numId w:val="1"/>
              </w:numPr>
              <w:ind w:left="0" w:firstLine="0"/>
              <w:jc w:val="both"/>
              <w:rPr>
                <w:rFonts w:ascii="Calibri" w:eastAsia="Calibri" w:hAnsi="Calibri" w:cs="Calibri"/>
                <w:sz w:val="22"/>
                <w:szCs w:val="22"/>
              </w:rPr>
            </w:pPr>
            <w:r>
              <w:rPr>
                <w:rFonts w:ascii="Calibri" w:eastAsia="Calibri" w:hAnsi="Calibri" w:cs="Calibri"/>
                <w:sz w:val="22"/>
                <w:szCs w:val="22"/>
              </w:rPr>
              <w:t>Evidenciará o problema a ser resolvido e a sua melhor solução, de modo a permitir a avaliação da viabilidade técnica e econômica da contração;</w:t>
            </w:r>
          </w:p>
          <w:p w14:paraId="26D1B347" w14:textId="77777777" w:rsidR="005D622A" w:rsidRDefault="00C55F56">
            <w:pPr>
              <w:numPr>
                <w:ilvl w:val="1"/>
                <w:numId w:val="1"/>
              </w:numPr>
              <w:ind w:left="0" w:firstLine="0"/>
              <w:jc w:val="both"/>
              <w:rPr>
                <w:rFonts w:ascii="Calibri" w:eastAsia="Calibri" w:hAnsi="Calibri" w:cs="Calibri"/>
                <w:sz w:val="22"/>
                <w:szCs w:val="22"/>
              </w:rPr>
            </w:pPr>
            <w:r>
              <w:rPr>
                <w:rFonts w:ascii="Calibri" w:eastAsia="Calibri" w:hAnsi="Calibri" w:cs="Calibri"/>
                <w:sz w:val="22"/>
                <w:szCs w:val="22"/>
              </w:rPr>
              <w:t>O Estudo que antecede a aquisição pretendida, em sua fase preparatória, estará pautado nas deliberações legais regulatórias, em âmbito Nacional e Estadual, inclusive no que diz respeito a Lei Federal de Licitações e Contratos Administrativos nº 14.133, de 1º de abril de 2021. No artigo 18, §2º, desta Lei, diz: “o estudo técnico preliminar deverá conter ao menos os elementos previstos nos incisos I, IV, VI, VIII e XIII do §1º deste artigo e, quando não contemplar os demais elementos previstos no referido parágrafo, apresentar as devidas justificativas;</w:t>
            </w:r>
          </w:p>
          <w:p w14:paraId="55D77B6A" w14:textId="77777777" w:rsidR="005D622A" w:rsidRDefault="00C55F56" w:rsidP="000570FE">
            <w:pPr>
              <w:numPr>
                <w:ilvl w:val="1"/>
                <w:numId w:val="1"/>
              </w:numPr>
              <w:spacing w:after="120"/>
              <w:ind w:left="0" w:firstLine="0"/>
              <w:jc w:val="both"/>
              <w:rPr>
                <w:rFonts w:ascii="Calibri" w:eastAsia="Calibri" w:hAnsi="Calibri" w:cs="Calibri"/>
                <w:sz w:val="22"/>
                <w:szCs w:val="22"/>
              </w:rPr>
            </w:pPr>
            <w:r>
              <w:rPr>
                <w:rFonts w:ascii="Calibri" w:eastAsia="Calibri" w:hAnsi="Calibri" w:cs="Calibri"/>
                <w:sz w:val="22"/>
                <w:szCs w:val="22"/>
              </w:rPr>
              <w:t>No âmbito estadual, a Nova Lei de Licitações e Contratos é regulamentada pelo Decreto Estadual nº 1.525/2022;</w:t>
            </w:r>
          </w:p>
        </w:tc>
      </w:tr>
      <w:tr w:rsidR="005D622A" w14:paraId="751AB2F5" w14:textId="77777777" w:rsidTr="00E40EE0">
        <w:tc>
          <w:tcPr>
            <w:tcW w:w="9980" w:type="dxa"/>
            <w:gridSpan w:val="11"/>
          </w:tcPr>
          <w:p w14:paraId="7C006984" w14:textId="77777777" w:rsidR="005D622A" w:rsidRDefault="00C55F56" w:rsidP="00AA2652">
            <w:pPr>
              <w:numPr>
                <w:ilvl w:val="0"/>
                <w:numId w:val="1"/>
              </w:numPr>
              <w:shd w:val="clear" w:color="auto" w:fill="D9D9D9"/>
              <w:tabs>
                <w:tab w:val="left" w:pos="438"/>
              </w:tabs>
              <w:ind w:right="57"/>
              <w:jc w:val="both"/>
              <w:rPr>
                <w:rFonts w:ascii="Calibri" w:eastAsia="Calibri" w:hAnsi="Calibri" w:cs="Calibri"/>
                <w:b/>
                <w:sz w:val="22"/>
                <w:szCs w:val="22"/>
              </w:rPr>
            </w:pPr>
            <w:r>
              <w:rPr>
                <w:rFonts w:ascii="Calibri" w:eastAsia="Calibri" w:hAnsi="Calibri" w:cs="Calibri"/>
                <w:b/>
                <w:sz w:val="22"/>
                <w:szCs w:val="22"/>
              </w:rPr>
              <w:t xml:space="preserve">DESCRIÇÃO DA NECESSIDADE DA CONTRATAÇÃO, CONSIDERANDO O PROBLEMA A SER RESOLVIDO SOB A PERSPECTIVA DO INTERESSE PÚBLICO (art. 35, inciso I do D1525/2022)</w:t>
            </w:r>
          </w:p>
          <w:p w14:paraId="3740E723" w14:textId="77777777" w:rsidR="005D622A" w:rsidRPr="00AA2652" w:rsidRDefault="00AA2652" w:rsidP="00AA2652">
            <w:pPr>
              <w:widowControl/>
              <w:spacing w:before="100" w:beforeAutospacing="1" w:after="100" w:afterAutospacing="1"/>
              <w:rPr>
                <w:rFonts w:ascii="Courier New" w:hAnsi="Courier New" w:cs="Courier New"/>
                <w:color w:val="EE0000"/>
                <w:sz w:val="20"/>
                <w:szCs w:val="20"/>
              </w:rPr>
            </w:pPr>
            <w:r w:rsidRPr="00AA2652">
              <w:rPr>
                <w:rFonts w:ascii="Courier New" w:hAnsi="Courier New" w:cs="Courier New"/>
                <w:color w:val="EE0000"/>
                <w:sz w:val="20"/>
                <w:szCs w:val="20"/>
              </w:rPr>
              <w:t xml:space="preserve">**Descrição da Necessidade da Contratação**</w:t>
              <w:br/>
              <w:t xml:space="preserve"/>
              <w:br/>
              <w:t xml:space="preserve">O Departamento Estadual de Trânsito de Mato Grosso (DETRAN-MT) tem como missão garantir a segurança e a fluidez no trânsito estadual, bem como atender às demandas dos cidadãos que utilizam as rodovias e estradas do estado. Para alcançar esse objetivo, é fundamental contar com materiais de consumo de alta qualidade e adequados para o funcionamento eficaz das atividades do DETRAN-MT.</w:t>
              <w:br/>
              <w:t xml:space="preserve"/>
              <w:br/>
              <w:t xml:space="preserve">A contratação de materiais de consumo (itens de informática) visa atender às demandas específicas do Departamento Estadual de Trânsito de Mato Grosso, garantindo a manutenção e o desenvolvimento dos sistemas de informações e comunicação utilizados para gerenciar as atividades do órgão. Esses materiais são essenciais para:</w:t>
              <w:br/>
              <w:t xml:space="preserve"/>
              <w:br/>
              <w:t xml:space="preserve">* Manter atualizados os sistemas de informação geográfica (SIG) e de gestão de trânsito, garantindo a eficácia das operações de fiscalização e monitoramento;</w:t>
              <w:br/>
              <w:t xml:space="preserve">* Apoiar as atividades de planejamento e gestão do trânsito, permitindo a análise de dados e a tomada de decisões informadas;</w:t>
              <w:br/>
              <w:t xml:space="preserve">* Fornecer suporte técnico às equipes de trabalho, garantindo a eficiência e a produtividade nos processos operacionais.</w:t>
              <w:br/>
              <w:t xml:space="preserve"/>
              <w:br/>
              <w:t xml:space="preserve">A contratação desses materiais é fundamental para o DETRAN-MT, pois permite:</w:t>
              <w:br/>
              <w:t xml:space="preserve"/>
              <w:br/>
              <w:t xml:space="preserve">* Melhorar a eficácia e a eficiência das atividades do órgão;</w:t>
              <w:br/>
              <w:t xml:space="preserve">* Garantir a segurança e a fluidez no trânsito estadual;</w:t>
              <w:br/>
              <w:t xml:space="preserve">* Atender às demandas dos cidadãos que utilizam as rodovias e estradas do estado.</w:t>
              <w:br/>
              <w:t xml:space="preserve"/>
              <w:br/>
              <w:t xml:space="preserve">Além disso, a contratação desses materiais contribui para o interesse público, pois:</w:t>
              <w:br/>
              <w:t xml:space="preserve"/>
              <w:br/>
              <w:t xml:space="preserve">* Garante a manutenção da segurança e da fluidez no trânsito estadual;</w:t>
              <w:br/>
              <w:t xml:space="preserve">* Fomenta o desenvolvimento econômico e social do estado;</w:t>
              <w:br/>
              <w:t xml:space="preserve">* Contribui para a melhoria da qualidade de vida dos cidadãos que utilizam as rodovias e estradas do estado.</w:t>
              <w:br/>
              <w:t xml:space="preserve"/>
              <w:br/>
              <w:t xml:space="preserve">Em resumo, a contratação de materiais de consumo (itens de informática) é fundamental para o DETRAN-MT, pois permite atender às demandas específicas do órgão, melhorar a eficácia e a eficiência das atividades, garantir a segurança e a fluidez no trânsito estadual e contribuir para o interesse público.</w:t>
            </w:r>
          </w:p>
          <w:p w14:paraId="1A45715D" w14:textId="0D8A8C19" w:rsidR="00AA2652" w:rsidRPr="00AA2652" w:rsidRDefault="00AA2652" w:rsidP="00AA2652">
            <w:pPr>
              <w:widowControl/>
              <w:spacing w:before="100" w:beforeAutospacing="1" w:after="100" w:afterAutospacing="1"/>
            </w:pPr>
          </w:p>
        </w:tc>
      </w:tr>
      <w:tr w:rsidR="005D622A" w14:paraId="4ECE4CB1" w14:textId="77777777" w:rsidTr="00E40EE0">
        <w:tc>
          <w:tcPr>
            <w:tcW w:w="9980" w:type="dxa"/>
            <w:gridSpan w:val="11"/>
          </w:tcPr>
          <w:p w14:paraId="1C50475C"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DEMONSTRAÇÃO DA PREVISÃO DA CONTRATAÇÃO NO PLANO DE CONTRATAÇÕES ANUAL, SEMPRE QUE ELABORADO, OU DESDE QUE JUSTIFICADA A IMPOSSIBILIDADE, DE MODO A INDICAR O SEU ALINHAMENTO COM OS INSTRUMENTOS DE PLANEJAMENTO DO ÓRGÃO OU ENTIDADE (art. 35, inciso II do D1525/2022)</w:t>
            </w:r>
          </w:p>
        </w:tc>
      </w:tr>
      <w:tr w:rsidR="005D622A" w14:paraId="35144777" w14:textId="77777777" w:rsidTr="00E40EE0">
        <w:trPr>
          <w:trHeight w:val="217"/>
        </w:trPr>
        <w:tc>
          <w:tcPr>
            <w:tcW w:w="9980" w:type="dxa"/>
            <w:gridSpan w:val="11"/>
            <w:tcMar>
              <w:top w:w="55" w:type="dxa"/>
              <w:left w:w="55" w:type="dxa"/>
              <w:bottom w:w="55" w:type="dxa"/>
              <w:right w:w="55" w:type="dxa"/>
            </w:tcMar>
          </w:tcPr>
          <w:p w14:paraId="5B610BF3" w14:textId="77777777" w:rsidR="005D622A" w:rsidRDefault="00C55F56">
            <w:pPr>
              <w:numPr>
                <w:ilvl w:val="1"/>
                <w:numId w:val="1"/>
              </w:numPr>
              <w:ind w:left="0" w:firstLine="0"/>
              <w:jc w:val="both"/>
              <w:rPr>
                <w:rFonts w:ascii="Calibri" w:eastAsia="Calibri" w:hAnsi="Calibri" w:cs="Calibri"/>
                <w:color w:val="000000"/>
                <w:sz w:val="22"/>
                <w:szCs w:val="22"/>
              </w:rPr>
            </w:pPr>
            <w:r>
              <w:rPr>
                <w:rFonts w:ascii="Calibri" w:eastAsia="Calibri" w:hAnsi="Calibri" w:cs="Calibri"/>
                <w:color w:val="FF0000"/>
                <w:sz w:val="22"/>
                <w:szCs w:val="22"/>
              </w:rPr>
              <w:t xml:space="preserve">Demonstração da previsão da contratação no plano de contrações anual, sempre que elaborado, de modo a indicar o seu alinhamento com o planejamento da Administração.</w:t>
            </w:r>
          </w:p>
        </w:tc>
      </w:tr>
      <w:tr w:rsidR="005D622A" w14:paraId="05F7485B" w14:textId="77777777" w:rsidTr="00AA2652">
        <w:trPr>
          <w:trHeight w:val="122"/>
        </w:trPr>
        <w:tc>
          <w:tcPr>
            <w:tcW w:w="4129" w:type="dxa"/>
            <w:gridSpan w:val="3"/>
            <w:tcMar>
              <w:top w:w="55" w:type="dxa"/>
              <w:left w:w="55" w:type="dxa"/>
              <w:bottom w:w="55" w:type="dxa"/>
              <w:right w:w="55" w:type="dxa"/>
            </w:tcMar>
          </w:tcPr>
          <w:p w14:paraId="66066011" w14:textId="77777777" w:rsidR="005D622A" w:rsidRDefault="00C55F56">
            <w:pPr>
              <w:pBdr>
                <w:top w:val="nil"/>
                <w:left w:val="nil"/>
                <w:bottom w:val="nil"/>
                <w:right w:val="nil"/>
                <w:between w:val="nil"/>
              </w:pBdr>
              <w:tabs>
                <w:tab w:val="left" w:pos="314"/>
              </w:tabs>
              <w:jc w:val="both"/>
              <w:rPr>
                <w:rFonts w:ascii="Calibri" w:eastAsia="Calibri" w:hAnsi="Calibri" w:cs="Calibri"/>
                <w:color w:val="000000"/>
                <w:sz w:val="22"/>
                <w:szCs w:val="22"/>
              </w:rPr>
            </w:pPr>
            <w:r>
              <w:rPr>
                <w:rFonts w:ascii="Calibri" w:eastAsia="Calibri" w:hAnsi="Calibri" w:cs="Calibri"/>
                <w:color w:val="000000"/>
                <w:sz w:val="22"/>
                <w:szCs w:val="22"/>
              </w:rPr>
              <w:t xml:space="preserve">Sub ação: </w:t>
            </w:r>
          </w:p>
        </w:tc>
        <w:tc>
          <w:tcPr>
            <w:tcW w:w="2317" w:type="dxa"/>
            <w:gridSpan w:val="4"/>
            <w:tcMar>
              <w:top w:w="55" w:type="dxa"/>
              <w:left w:w="55" w:type="dxa"/>
              <w:bottom w:w="55" w:type="dxa"/>
              <w:right w:w="55" w:type="dxa"/>
            </w:tcMar>
          </w:tcPr>
          <w:p w14:paraId="1DA06317" w14:textId="4C8A753A" w:rsidR="005D622A" w:rsidRDefault="00AA2652">
            <w:pPr>
              <w:pBdr>
                <w:top w:val="nil"/>
                <w:left w:val="nil"/>
                <w:bottom w:val="nil"/>
                <w:right w:val="nil"/>
                <w:between w:val="nil"/>
              </w:pBdr>
              <w:tabs>
                <w:tab w:val="left" w:pos="314"/>
              </w:tabs>
              <w:jc w:val="center"/>
              <w:rPr>
                <w:rFonts w:ascii="Calibri" w:eastAsia="Calibri" w:hAnsi="Calibri" w:cs="Calibri"/>
                <w:color w:val="FF0000"/>
                <w:sz w:val="22"/>
                <w:szCs w:val="22"/>
              </w:rPr>
            </w:pPr>
            <w:r w:rsidRPr="00AA2652">
              <w:rPr>
                <w:rFonts w:ascii="Calibri" w:eastAsia="Calibri" w:hAnsi="Calibri" w:cs="Calibri"/>
                <w:color w:val="FF0000"/>
                <w:sz w:val="20"/>
                <w:szCs w:val="20"/>
              </w:rPr>
              <w:t xml:space="preserve">112</w:t>
            </w:r>
          </w:p>
        </w:tc>
        <w:tc>
          <w:tcPr>
            <w:tcW w:w="1970" w:type="dxa"/>
            <w:gridSpan w:val="2"/>
            <w:tcMar>
              <w:top w:w="55" w:type="dxa"/>
              <w:left w:w="55" w:type="dxa"/>
              <w:bottom w:w="55" w:type="dxa"/>
              <w:right w:w="55" w:type="dxa"/>
            </w:tcMar>
          </w:tcPr>
          <w:p w14:paraId="2D0626F3" w14:textId="77777777" w:rsidR="005D622A" w:rsidRDefault="00C55F56">
            <w:pPr>
              <w:pBdr>
                <w:top w:val="nil"/>
                <w:left w:val="nil"/>
                <w:bottom w:val="nil"/>
                <w:right w:val="nil"/>
                <w:between w:val="nil"/>
              </w:pBdr>
              <w:tabs>
                <w:tab w:val="left" w:pos="314"/>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Etapa:</w:t>
            </w:r>
          </w:p>
        </w:tc>
        <w:tc>
          <w:tcPr>
            <w:tcW w:w="1564" w:type="dxa"/>
            <w:gridSpan w:val="2"/>
            <w:tcMar>
              <w:top w:w="55" w:type="dxa"/>
              <w:left w:w="55" w:type="dxa"/>
              <w:bottom w:w="55" w:type="dxa"/>
              <w:right w:w="55" w:type="dxa"/>
            </w:tcMar>
          </w:tcPr>
          <w:p w14:paraId="6010F797" w14:textId="7CC821AD" w:rsidR="005D622A" w:rsidRDefault="00AA2652">
            <w:pPr>
              <w:pBdr>
                <w:top w:val="nil"/>
                <w:left w:val="nil"/>
                <w:bottom w:val="nil"/>
                <w:right w:val="nil"/>
                <w:between w:val="nil"/>
              </w:pBdr>
              <w:tabs>
                <w:tab w:val="left" w:pos="314"/>
              </w:tabs>
              <w:jc w:val="center"/>
              <w:rPr>
                <w:rFonts w:ascii="Calibri" w:eastAsia="Calibri" w:hAnsi="Calibri" w:cs="Calibri"/>
                <w:color w:val="FF0000"/>
                <w:sz w:val="22"/>
                <w:szCs w:val="22"/>
              </w:rPr>
            </w:pPr>
            <w:r w:rsidRPr="00AA2652">
              <w:rPr>
                <w:rFonts w:ascii="Calibri" w:eastAsia="Calibri" w:hAnsi="Calibri" w:cs="Calibri"/>
                <w:color w:val="FF0000"/>
                <w:sz w:val="20"/>
                <w:szCs w:val="20"/>
              </w:rPr>
              <w:t xml:space="preserve">112</w:t>
            </w:r>
          </w:p>
        </w:tc>
      </w:tr>
      <w:tr w:rsidR="005D622A" w14:paraId="67A74A47" w14:textId="77777777" w:rsidTr="00AA2652">
        <w:trPr>
          <w:trHeight w:val="43"/>
        </w:trPr>
        <w:tc>
          <w:tcPr>
            <w:tcW w:w="4129" w:type="dxa"/>
            <w:gridSpan w:val="3"/>
            <w:tcMar>
              <w:top w:w="55" w:type="dxa"/>
              <w:left w:w="55" w:type="dxa"/>
              <w:bottom w:w="55" w:type="dxa"/>
              <w:right w:w="55" w:type="dxa"/>
            </w:tcMar>
          </w:tcPr>
          <w:p w14:paraId="7A9F7F21" w14:textId="77777777" w:rsidR="005D622A" w:rsidRDefault="00C55F56">
            <w:pPr>
              <w:pBdr>
                <w:top w:val="nil"/>
                <w:left w:val="nil"/>
                <w:bottom w:val="nil"/>
                <w:right w:val="nil"/>
                <w:between w:val="nil"/>
              </w:pBdr>
              <w:tabs>
                <w:tab w:val="left" w:pos="314"/>
              </w:tabs>
              <w:jc w:val="both"/>
              <w:rPr>
                <w:rFonts w:ascii="Calibri" w:eastAsia="Calibri" w:hAnsi="Calibri" w:cs="Calibri"/>
                <w:color w:val="000000"/>
                <w:sz w:val="22"/>
                <w:szCs w:val="22"/>
              </w:rPr>
            </w:pPr>
            <w:r>
              <w:rPr>
                <w:rFonts w:ascii="Calibri" w:eastAsia="Calibri" w:hAnsi="Calibri" w:cs="Calibri"/>
                <w:color w:val="000000"/>
                <w:sz w:val="22"/>
                <w:szCs w:val="22"/>
              </w:rPr>
              <w:t xml:space="preserve">Natureza da Despesa:</w:t>
            </w:r>
          </w:p>
        </w:tc>
        <w:tc>
          <w:tcPr>
            <w:tcW w:w="2317" w:type="dxa"/>
            <w:gridSpan w:val="4"/>
            <w:tcMar>
              <w:top w:w="55" w:type="dxa"/>
              <w:left w:w="55" w:type="dxa"/>
              <w:bottom w:w="55" w:type="dxa"/>
              <w:right w:w="55" w:type="dxa"/>
            </w:tcMar>
          </w:tcPr>
          <w:p w14:paraId="53DD1E68" w14:textId="16CD90BA" w:rsidR="005D622A" w:rsidRDefault="00AA2652">
            <w:pPr>
              <w:pBdr>
                <w:top w:val="nil"/>
                <w:left w:val="nil"/>
                <w:bottom w:val="nil"/>
                <w:right w:val="nil"/>
                <w:between w:val="nil"/>
              </w:pBdr>
              <w:tabs>
                <w:tab w:val="left" w:pos="314"/>
              </w:tabs>
              <w:jc w:val="center"/>
              <w:rPr>
                <w:rFonts w:ascii="Calibri" w:eastAsia="Calibri" w:hAnsi="Calibri" w:cs="Calibri"/>
                <w:color w:val="000000"/>
                <w:sz w:val="22"/>
                <w:szCs w:val="22"/>
              </w:rPr>
            </w:pPr>
            <w:r w:rsidRPr="00AA2652">
              <w:rPr>
                <w:rFonts w:ascii="Calibri" w:eastAsia="Calibri" w:hAnsi="Calibri" w:cs="Calibri"/>
                <w:color w:val="FF0000"/>
                <w:sz w:val="18"/>
                <w:szCs w:val="18"/>
              </w:rPr>
              <w:t xml:space="preserve">112</w:t>
            </w:r>
          </w:p>
        </w:tc>
        <w:tc>
          <w:tcPr>
            <w:tcW w:w="1970" w:type="dxa"/>
            <w:gridSpan w:val="2"/>
            <w:tcMar>
              <w:top w:w="55" w:type="dxa"/>
              <w:left w:w="55" w:type="dxa"/>
              <w:bottom w:w="55" w:type="dxa"/>
              <w:right w:w="55" w:type="dxa"/>
            </w:tcMar>
          </w:tcPr>
          <w:p w14:paraId="64E45AB7" w14:textId="77777777" w:rsidR="005D622A" w:rsidRDefault="00C55F56">
            <w:pPr>
              <w:pBdr>
                <w:top w:val="nil"/>
                <w:left w:val="nil"/>
                <w:bottom w:val="nil"/>
                <w:right w:val="nil"/>
                <w:between w:val="nil"/>
              </w:pBdr>
              <w:tabs>
                <w:tab w:val="left" w:pos="314"/>
              </w:tabs>
              <w:jc w:val="both"/>
              <w:rPr>
                <w:rFonts w:ascii="Calibri" w:eastAsia="Calibri" w:hAnsi="Calibri" w:cs="Calibri"/>
                <w:color w:val="000000"/>
                <w:sz w:val="22"/>
                <w:szCs w:val="22"/>
              </w:rPr>
            </w:pPr>
            <w:r>
              <w:rPr>
                <w:rFonts w:ascii="Calibri" w:eastAsia="Calibri" w:hAnsi="Calibri" w:cs="Calibri"/>
                <w:color w:val="000000"/>
                <w:sz w:val="22"/>
                <w:szCs w:val="22"/>
              </w:rPr>
              <w:t xml:space="preserve">Fonte:</w:t>
            </w:r>
          </w:p>
        </w:tc>
        <w:tc>
          <w:tcPr>
            <w:tcW w:w="1564" w:type="dxa"/>
            <w:gridSpan w:val="2"/>
            <w:tcMar>
              <w:top w:w="55" w:type="dxa"/>
              <w:left w:w="55" w:type="dxa"/>
              <w:bottom w:w="55" w:type="dxa"/>
              <w:right w:w="55" w:type="dxa"/>
            </w:tcMar>
          </w:tcPr>
          <w:p w14:paraId="2778FDA4" w14:textId="744FD10E" w:rsidR="005D622A" w:rsidRDefault="00AA2652">
            <w:pPr>
              <w:pBdr>
                <w:top w:val="nil"/>
                <w:left w:val="nil"/>
                <w:bottom w:val="nil"/>
                <w:right w:val="nil"/>
                <w:between w:val="nil"/>
              </w:pBdr>
              <w:tabs>
                <w:tab w:val="left" w:pos="314"/>
              </w:tabs>
              <w:jc w:val="center"/>
              <w:rPr>
                <w:rFonts w:ascii="Calibri" w:eastAsia="Calibri" w:hAnsi="Calibri" w:cs="Calibri"/>
                <w:color w:val="FF0000"/>
                <w:sz w:val="22"/>
                <w:szCs w:val="22"/>
              </w:rPr>
            </w:pPr>
            <w:r w:rsidRPr="00AA2652">
              <w:rPr>
                <w:rFonts w:ascii="Calibri" w:eastAsia="Calibri" w:hAnsi="Calibri" w:cs="Calibri"/>
                <w:color w:val="FF0000"/>
                <w:sz w:val="22"/>
                <w:szCs w:val="22"/>
              </w:rPr>
              <w:t xml:space="preserve">112</w:t>
            </w:r>
          </w:p>
        </w:tc>
      </w:tr>
      <w:tr w:rsidR="00202859" w14:paraId="000DD197" w14:textId="77777777" w:rsidTr="00AA2652">
        <w:trPr>
          <w:trHeight w:val="43"/>
        </w:trPr>
        <w:tc>
          <w:tcPr>
            <w:tcW w:w="4129" w:type="dxa"/>
            <w:gridSpan w:val="3"/>
            <w:tcMar>
              <w:top w:w="55" w:type="dxa"/>
              <w:left w:w="55" w:type="dxa"/>
              <w:bottom w:w="55" w:type="dxa"/>
              <w:right w:w="55" w:type="dxa"/>
            </w:tcMar>
          </w:tcPr>
          <w:p w14:paraId="03E0D93D" w14:textId="2921670A" w:rsidR="00202859" w:rsidRDefault="00202859" w:rsidP="00410C8F">
            <w:pPr>
              <w:pBdr>
                <w:top w:val="nil"/>
                <w:left w:val="nil"/>
                <w:bottom w:val="nil"/>
                <w:right w:val="nil"/>
                <w:between w:val="nil"/>
              </w:pBdr>
              <w:tabs>
                <w:tab w:val="left" w:pos="314"/>
              </w:tabs>
              <w:jc w:val="center"/>
              <w:rPr>
                <w:rFonts w:ascii="Calibri" w:eastAsia="Calibri" w:hAnsi="Calibri" w:cs="Calibri"/>
                <w:color w:val="000000"/>
                <w:sz w:val="22"/>
                <w:szCs w:val="22"/>
              </w:rPr>
            </w:pPr>
            <w:r>
              <w:rPr>
                <w:rFonts w:ascii="Calibri" w:eastAsia="Calibri" w:hAnsi="Calibri" w:cs="Calibri"/>
                <w:color w:val="000000"/>
                <w:sz w:val="22"/>
                <w:szCs w:val="22"/>
              </w:rPr>
              <w:t xml:space="preserve">Projeto/Atividade:</w:t>
            </w:r>
          </w:p>
        </w:tc>
        <w:tc>
          <w:tcPr>
            <w:tcW w:w="2317" w:type="dxa"/>
            <w:gridSpan w:val="4"/>
            <w:tcMar>
              <w:top w:w="55" w:type="dxa"/>
              <w:left w:w="55" w:type="dxa"/>
              <w:bottom w:w="55" w:type="dxa"/>
              <w:right w:w="55" w:type="dxa"/>
            </w:tcMar>
          </w:tcPr>
          <w:p w14:paraId="63FAB21B" w14:textId="1F44B005" w:rsidR="00202859" w:rsidRPr="00AA2652" w:rsidRDefault="00410C8F" w:rsidP="00410C8F">
            <w:pPr>
              <w:pBdr>
                <w:top w:val="nil"/>
                <w:left w:val="nil"/>
                <w:bottom w:val="nil"/>
                <w:right w:val="nil"/>
                <w:between w:val="nil"/>
              </w:pBdr>
              <w:tabs>
                <w:tab w:val="left" w:pos="314"/>
              </w:tabs>
              <w:jc w:val="center"/>
              <w:rPr>
                <w:rFonts w:ascii="Calibri" w:eastAsia="Calibri" w:hAnsi="Calibri" w:cs="Calibri"/>
                <w:color w:val="FF0000"/>
                <w:sz w:val="18"/>
                <w:szCs w:val="18"/>
              </w:rPr>
            </w:pPr>
            <w:r>
              <w:rPr>
                <w:rFonts w:ascii="Calibri" w:eastAsia="Calibri" w:hAnsi="Calibri" w:cs="Calibri"/>
                <w:color w:val="FF0000"/>
                <w:sz w:val="20"/>
                <w:szCs w:val="20"/>
              </w:rPr>
              <w:t xml:space="preserve">112</w:t>
            </w:r>
          </w:p>
        </w:tc>
        <w:tc>
          <w:tcPr>
            <w:tcW w:w="1970" w:type="dxa"/>
            <w:gridSpan w:val="2"/>
            <w:tcMar>
              <w:top w:w="55" w:type="dxa"/>
              <w:left w:w="55" w:type="dxa"/>
              <w:bottom w:w="55" w:type="dxa"/>
              <w:right w:w="55" w:type="dxa"/>
            </w:tcMar>
          </w:tcPr>
          <w:p w14:paraId="238F9173" w14:textId="1C4691FF" w:rsidR="00202859" w:rsidRPr="00202859" w:rsidRDefault="00202859" w:rsidP="00202859">
            <w:pPr>
              <w:pBdr>
                <w:top w:val="nil"/>
                <w:left w:val="nil"/>
                <w:bottom w:val="nil"/>
                <w:right w:val="nil"/>
                <w:between w:val="nil"/>
              </w:pBdr>
              <w:tabs>
                <w:tab w:val="left" w:pos="314"/>
              </w:tabs>
              <w:rPr>
                <w:rFonts w:ascii="Calibri" w:eastAsia="Calibri" w:hAnsi="Calibri" w:cs="Calibri"/>
                <w:color w:val="000000"/>
                <w:sz w:val="18"/>
                <w:szCs w:val="18"/>
              </w:rPr>
            </w:pPr>
            <w:r w:rsidRPr="00202859">
              <w:rPr>
                <w:rFonts w:ascii="Calibri" w:eastAsia="Calibri" w:hAnsi="Calibri" w:cs="Calibri"/>
                <w:color w:val="000000"/>
                <w:sz w:val="18"/>
                <w:szCs w:val="18"/>
              </w:rPr>
              <w:t xml:space="preserve">Programa: </w:t>
            </w:r>
          </w:p>
        </w:tc>
        <w:tc>
          <w:tcPr>
            <w:tcW w:w="1564" w:type="dxa"/>
            <w:gridSpan w:val="2"/>
            <w:tcMar>
              <w:top w:w="55" w:type="dxa"/>
              <w:left w:w="55" w:type="dxa"/>
              <w:bottom w:w="55" w:type="dxa"/>
              <w:right w:w="55" w:type="dxa"/>
            </w:tcMar>
          </w:tcPr>
          <w:p w14:paraId="55CBA1DF" w14:textId="655CB7E6" w:rsidR="00202859" w:rsidRPr="00202859" w:rsidRDefault="00410C8F">
            <w:pPr>
              <w:pBdr>
                <w:top w:val="nil"/>
                <w:left w:val="nil"/>
                <w:bottom w:val="nil"/>
                <w:right w:val="nil"/>
                <w:between w:val="nil"/>
              </w:pBdr>
              <w:tabs>
                <w:tab w:val="left" w:pos="314"/>
              </w:tabs>
              <w:jc w:val="center"/>
              <w:rPr>
                <w:rFonts w:ascii="Calibri" w:eastAsia="Calibri" w:hAnsi="Calibri" w:cs="Calibri"/>
                <w:color w:val="FF0000"/>
                <w:sz w:val="18"/>
                <w:szCs w:val="18"/>
              </w:rPr>
            </w:pPr>
            <w:r>
              <w:rPr>
                <w:rFonts w:ascii="Calibri" w:eastAsia="Calibri" w:hAnsi="Calibri" w:cs="Calibri"/>
                <w:color w:val="FF0000"/>
                <w:sz w:val="18"/>
                <w:szCs w:val="18"/>
              </w:rPr>
              <w:t>{[ programa ??</w:t>
            </w:r>
          </w:p>
        </w:tc>
      </w:tr>
      <w:tr w:rsidR="005D622A" w14:paraId="3FDBC2D8" w14:textId="77777777" w:rsidTr="00E40EE0">
        <w:trPr>
          <w:trHeight w:val="518"/>
        </w:trPr>
        <w:tc>
          <w:tcPr>
            <w:tcW w:w="9980" w:type="dxa"/>
            <w:gridSpan w:val="11"/>
            <w:tcMar>
              <w:top w:w="55" w:type="dxa"/>
              <w:left w:w="55" w:type="dxa"/>
              <w:bottom w:w="55" w:type="dxa"/>
              <w:right w:w="55" w:type="dxa"/>
            </w:tcMar>
          </w:tcPr>
          <w:p w14:paraId="17D96D7F"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 xml:space="preserve">DESCRIÇÃO DOS REQUISITOS DA CONTRATAÇÃO NECESSÁRIOS E SUFICIENTES À ESCOLHA DA SOLUÇÃO, PREVENDO CRITÉRIOS E PRÁTICAS DE SUSTENTABILIDADE (art. 35, inciso III do D1525/2022)</w:t>
            </w:r>
          </w:p>
          <w:p w14:paraId="0B4A639A" w14:textId="54E79D71" w:rsidR="005D622A" w:rsidRDefault="00AA2652">
            <w:pPr>
              <w:numPr>
                <w:ilvl w:val="1"/>
                <w:numId w:val="1"/>
              </w:numPr>
              <w:ind w:left="0" w:right="57" w:firstLine="0"/>
              <w:jc w:val="both"/>
              <w:rPr>
                <w:rFonts w:ascii="Calibri" w:eastAsia="Calibri" w:hAnsi="Calibri" w:cs="Calibri"/>
                <w:sz w:val="22"/>
                <w:szCs w:val="22"/>
              </w:rPr>
            </w:pPr>
            <w:r w:rsidRPr="00AA2652">
              <w:rPr>
                <w:rFonts w:ascii="Calibri" w:eastAsia="Calibri" w:hAnsi="Calibri" w:cs="Calibri"/>
                <w:color w:val="FF0000"/>
                <w:sz w:val="22"/>
                <w:szCs w:val="22"/>
              </w:rPr>
              <w:t xml:space="preserve">**Descrição dos Requisitos da Contratação**</w:t>
              <w:br/>
              <w:t xml:space="preserve"/>
              <w:br/>
              <w:t xml:space="preserve">A presente contratação visa à seleção de um fornecedor que atenda aos seguintes requisitos técnicos e de sustentabilidade para a entrega de [nome do produto ou serviço].</w:t>
              <w:br/>
              <w:t xml:space="preserve"/>
              <w:br/>
              <w:t xml:space="preserve">**Requisitos Técnicos:**</w:t>
              <w:br/>
              <w:t xml:space="preserve"/>
              <w:br/>
              <w:t xml:space="preserve">1. **Funcionalidade**: O fornecedor deve ser capaz de entregar um sistema/componente que atenda às especificações técnicas descritas no presente edital, com capacidade de [descrição da funcionalidade];</w:t>
              <w:br/>
              <w:t xml:space="preserve">2. **Compatibilidade**: O sistema/componente deve ser compatível com os sistemas e tecnologias existentes na empresa;</w:t>
              <w:br/>
              <w:t xml:space="preserve">3. **Segurança**: O fornecedor deve garantir que o sistema/componente seja seguro e proteja a integridade dos dados e informações da empresa;</w:t>
              <w:br/>
              <w:t xml:space="preserve">4. **Manutenção**: O fornecedor deve estar preparado para realizar manutenções e atualizações do sistema/componente, de acordo com as necessidades da empresa.</w:t>
              <w:br/>
              <w:t xml:space="preserve"/>
              <w:br/>
              <w:t xml:space="preserve">**Requisitos de Sustentabilidade:**</w:t>
              <w:br/>
              <w:t xml:space="preserve"/>
              <w:br/>
              <w:t xml:space="preserve">1. **Ecoeficiência**: O fornecedor deve demonstrar sua capacidade de reduzir o impacto ambiental em suas operações, mediante a implementação de práticas e processos sustentáveis;</w:t>
              <w:br/>
              <w:t xml:space="preserve">2. **Transparência**: O fornecedor deve ser transparente sobre seus processos e práticas de produção, garantindo a integridade dos produtos e serviços entregues;</w:t>
              <w:br/>
              <w:t xml:space="preserve">3. **Responsabilidade Social**: O fornecedor deve demonstrar sua responsabilidade social, mediante a implementação de políticas e práticas que beneficiem os trabalhadores e a comunidade local.</w:t>
              <w:br/>
              <w:t xml:space="preserve"/>
              <w:br/>
              <w:t xml:space="preserve">**Critérios de Qualidade:**</w:t>
              <w:br/>
              <w:t xml:space="preserve"/>
              <w:br/>
              <w:t xml:space="preserve">1. **Experiência**: O fornecedor deve possuir experiência comprovada em projetos semelhantes ao presente;</w:t>
              <w:br/>
              <w:t xml:space="preserve">2. **Certificações**: O fornecedor deve estar certificado em processos e práticas que garantam a qualidade dos produtos e serviços entregues;</w:t>
              <w:br/>
              <w:t xml:space="preserve">3. **Garantia**: O fornecedor deve oferecer uma garantia de 12 meses para o sistema/componente, cobrindo defeitos e falhas.</w:t>
              <w:br/>
              <w:t xml:space="preserve"/>
              <w:br/>
              <w:t xml:space="preserve">**Requisito de Garantia:**</w:t>
              <w:br/>
              <w:t xml:space="preserve"/>
              <w:br/>
              <w:t xml:space="preserve">O fornecedor selecionado será responsável por garantir a entrega do sistema/componente dentro do prazo previsto e com as características técnicas descritas no presente edital. Em caso de defeito ou falta, o fornecedor será responsável por reparar ou substituir o sistema/componente, sem custos adicionais para a empresa.</w:t>
              <w:br/>
              <w:t xml:space="preserve"/>
              <w:br/>
              <w:t xml:space="preserve">**Requisito de Sustentabilidade:**</w:t>
              <w:br/>
              <w:t xml:space="preserve"/>
              <w:br/>
              <w:t xml:space="preserve">O fornecedor selecionado será avaliado com base em sua capacidade de demonstrar sustentabilidade nos seguintes aspectos:</w:t>
              <w:br/>
              <w:t xml:space="preserve"/>
              <w:br/>
              <w:t xml:space="preserve">1. **Ecoeficiência**: O fornecedor deve reduzir o impacto ambiental em suas operações, mediante a implementação de práticas e processos sustentáveis;</w:t>
              <w:br/>
              <w:t xml:space="preserve">2. **Transparência**: O fornecedor deve ser transparente sobre seus processos e práticas de produção, garantindo a integridade dos produtos e serviços entregues;</w:t>
              <w:br/>
              <w:t xml:space="preserve">3. **Responsabilidade Social**: O fornecedor deve demonstrar sua responsabilidade social, mediante a implementação de políticas e práticas que beneficiem os trabalhadores e a comunidade local.</w:t>
              <w:br/>
              <w:t xml:space="preserve"/>
              <w:br/>
              <w:t xml:space="preserve">A presente contratação visa à seleção do fornecedor que melhor atenda aos requisitos técnicos, de sustentabilidade e de qualidade estabelecidos.</w:t>
            </w:r>
          </w:p>
        </w:tc>
      </w:tr>
      <w:tr w:rsidR="005D622A" w14:paraId="07D6CFAD" w14:textId="77777777" w:rsidTr="00E40EE0">
        <w:trPr>
          <w:trHeight w:val="216"/>
        </w:trPr>
        <w:tc>
          <w:tcPr>
            <w:tcW w:w="9980" w:type="dxa"/>
            <w:gridSpan w:val="11"/>
            <w:tcMar>
              <w:top w:w="55" w:type="dxa"/>
              <w:left w:w="55" w:type="dxa"/>
              <w:bottom w:w="55" w:type="dxa"/>
              <w:right w:w="55" w:type="dxa"/>
            </w:tcMar>
          </w:tcPr>
          <w:p w14:paraId="6CCE9F46"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ESTIMATIVAS DAS QUANTIDADES A SEREM CONTRATADAS, ACOMPANHADAS DAS MEMÓRIAS DE CÁLCULO E DOS DOCUMENTOS QUE LHE DÃO SUPORTE, QUE CONSIDEREM INTERDEPENDÊNCIAS COM OUTRAS CONTRATAÇÕES, DE MODO A POSSIBILITAR ECONOMIA DE ESCALA (art. 35, inciso IV do D1525/2022)</w:t>
            </w:r>
          </w:p>
          <w:p w14:paraId="4DC13338" w14:textId="77777777" w:rsidR="005D622A" w:rsidRDefault="00C55F56">
            <w:pPr>
              <w:numPr>
                <w:ilvl w:val="1"/>
                <w:numId w:val="1"/>
              </w:numPr>
              <w:ind w:left="0" w:right="57" w:firstLine="0"/>
              <w:jc w:val="both"/>
              <w:rPr>
                <w:sz w:val="22"/>
                <w:szCs w:val="22"/>
              </w:rPr>
            </w:pPr>
            <w:r>
              <w:rPr>
                <w:rFonts w:ascii="Calibri" w:eastAsia="Calibri" w:hAnsi="Calibri" w:cs="Calibri"/>
                <w:color w:val="FF0000"/>
                <w:sz w:val="22"/>
                <w:szCs w:val="22"/>
              </w:rPr>
              <w:t>As estimativas das quantidades para a contração, acompanhadas das memórias de cálculo e dos documentos que lhes dão suporte, que considerem interdependências com outras contratações, de modo a possibilitar economia em escala.</w:t>
            </w:r>
          </w:p>
        </w:tc>
      </w:tr>
      <w:tr w:rsidR="005D622A" w14:paraId="24C68F76" w14:textId="77777777" w:rsidTr="00E40EE0">
        <w:trPr>
          <w:trHeight w:val="330"/>
        </w:trPr>
        <w:tc>
          <w:tcPr>
            <w:tcW w:w="1424" w:type="dxa"/>
            <w:shd w:val="clear" w:color="auto" w:fill="D9D9D9"/>
            <w:tcMar>
              <w:top w:w="55" w:type="dxa"/>
              <w:left w:w="55" w:type="dxa"/>
              <w:bottom w:w="55" w:type="dxa"/>
              <w:right w:w="55" w:type="dxa"/>
            </w:tcMar>
          </w:tcPr>
          <w:p w14:paraId="56E9DBA4"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LOTE/ITEM</w:t>
            </w:r>
          </w:p>
        </w:tc>
        <w:tc>
          <w:tcPr>
            <w:tcW w:w="1426" w:type="dxa"/>
            <w:shd w:val="clear" w:color="auto" w:fill="D9D9D9"/>
            <w:tcMar>
              <w:top w:w="55" w:type="dxa"/>
              <w:left w:w="55" w:type="dxa"/>
              <w:bottom w:w="55" w:type="dxa"/>
              <w:right w:w="55" w:type="dxa"/>
            </w:tcMar>
          </w:tcPr>
          <w:p w14:paraId="649BFA78"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SIAG/TCE</w:t>
            </w:r>
          </w:p>
        </w:tc>
        <w:tc>
          <w:tcPr>
            <w:tcW w:w="1426" w:type="dxa"/>
            <w:gridSpan w:val="2"/>
            <w:shd w:val="clear" w:color="auto" w:fill="D9D9D9"/>
            <w:tcMar>
              <w:top w:w="55" w:type="dxa"/>
              <w:left w:w="55" w:type="dxa"/>
              <w:bottom w:w="55" w:type="dxa"/>
              <w:right w:w="55" w:type="dxa"/>
            </w:tcMar>
          </w:tcPr>
          <w:p w14:paraId="4EE4A9E8"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UN</w:t>
            </w:r>
          </w:p>
        </w:tc>
        <w:tc>
          <w:tcPr>
            <w:tcW w:w="1426" w:type="dxa"/>
            <w:gridSpan w:val="2"/>
            <w:shd w:val="clear" w:color="auto" w:fill="D9D9D9"/>
            <w:tcMar>
              <w:top w:w="55" w:type="dxa"/>
              <w:left w:w="55" w:type="dxa"/>
              <w:bottom w:w="55" w:type="dxa"/>
              <w:right w:w="55" w:type="dxa"/>
            </w:tcMar>
          </w:tcPr>
          <w:p w14:paraId="3556FABB"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QTD</w:t>
            </w:r>
          </w:p>
        </w:tc>
        <w:tc>
          <w:tcPr>
            <w:tcW w:w="4278" w:type="dxa"/>
            <w:gridSpan w:val="5"/>
            <w:shd w:val="clear" w:color="auto" w:fill="D9D9D9"/>
            <w:tcMar>
              <w:top w:w="55" w:type="dxa"/>
              <w:left w:w="55" w:type="dxa"/>
              <w:bottom w:w="55" w:type="dxa"/>
              <w:right w:w="55" w:type="dxa"/>
            </w:tcMar>
          </w:tcPr>
          <w:p w14:paraId="64DD9C6B"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DESCRIÇÃO</w:t>
            </w:r>
          </w:p>
        </w:tc>
      </w:tr>
      <w:tr w:rsidR="005D622A" w14:paraId="15DA6983" w14:textId="77777777" w:rsidTr="00E40EE0">
        <w:trPr>
          <w:trHeight w:val="330"/>
        </w:trPr>
        <w:tc>
          <w:tcPr>
            <w:tcW w:w="1424" w:type="dxa"/>
            <w:tcMar>
              <w:top w:w="55" w:type="dxa"/>
              <w:left w:w="55" w:type="dxa"/>
              <w:bottom w:w="55" w:type="dxa"/>
              <w:right w:w="55" w:type="dxa"/>
            </w:tcMar>
          </w:tcPr>
          <w:p w14:paraId="707A6C7E" w14:textId="77A70FDF"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20"/>
                <w:szCs w:val="20"/>
              </w:rPr>
              <w:t xml:space="preserve">1</w:t>
            </w:r>
          </w:p>
        </w:tc>
        <w:tc>
          <w:tcPr>
            <w:tcW w:w="1426" w:type="dxa"/>
            <w:tcMar>
              <w:top w:w="55" w:type="dxa"/>
              <w:left w:w="55" w:type="dxa"/>
              <w:bottom w:w="55" w:type="dxa"/>
              <w:right w:w="55" w:type="dxa"/>
            </w:tcMar>
          </w:tcPr>
          <w:p w14:paraId="23A11AAE" w14:textId="09E69B0A"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18"/>
                <w:szCs w:val="18"/>
              </w:rPr>
              <w:t xml:space="preserve">112</w:t>
            </w:r>
          </w:p>
        </w:tc>
        <w:tc>
          <w:tcPr>
            <w:tcW w:w="1426" w:type="dxa"/>
            <w:gridSpan w:val="2"/>
            <w:tcMar>
              <w:top w:w="55" w:type="dxa"/>
              <w:left w:w="55" w:type="dxa"/>
              <w:bottom w:w="55" w:type="dxa"/>
              <w:right w:w="55" w:type="dxa"/>
            </w:tcMar>
          </w:tcPr>
          <w:p w14:paraId="76895741" w14:textId="5F29B5D1"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16"/>
                <w:szCs w:val="16"/>
              </w:rPr>
              <w:t xml:space="preserve">UN</w:t>
            </w:r>
          </w:p>
        </w:tc>
        <w:tc>
          <w:tcPr>
            <w:tcW w:w="1426" w:type="dxa"/>
            <w:gridSpan w:val="2"/>
            <w:tcMar>
              <w:top w:w="55" w:type="dxa"/>
              <w:left w:w="55" w:type="dxa"/>
              <w:bottom w:w="55" w:type="dxa"/>
              <w:right w:w="55" w:type="dxa"/>
            </w:tcMar>
          </w:tcPr>
          <w:p w14:paraId="0DE554D9" w14:textId="761F26B0"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22"/>
                <w:szCs w:val="22"/>
              </w:rPr>
              <w:t xml:space="preserve">11</w:t>
            </w:r>
          </w:p>
        </w:tc>
        <w:tc>
          <w:tcPr>
            <w:tcW w:w="4278" w:type="dxa"/>
            <w:gridSpan w:val="5"/>
            <w:tcMar>
              <w:top w:w="55" w:type="dxa"/>
              <w:left w:w="55" w:type="dxa"/>
              <w:bottom w:w="55" w:type="dxa"/>
              <w:right w:w="55" w:type="dxa"/>
            </w:tcMar>
          </w:tcPr>
          <w:p w14:paraId="31F4C29A" w14:textId="2E0A1D0B"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22"/>
                <w:szCs w:val="22"/>
              </w:rPr>
              <w:t xml:space="preserve">112</w:t>
            </w:r>
          </w:p>
        </w:tc>
      </w:tr>
      <w:tr w:rsidR="005D622A" w14:paraId="01D41D8A" w14:textId="77777777" w:rsidTr="00E40EE0">
        <w:trPr>
          <w:trHeight w:val="518"/>
        </w:trPr>
        <w:tc>
          <w:tcPr>
            <w:tcW w:w="9980" w:type="dxa"/>
            <w:gridSpan w:val="11"/>
            <w:tcMar>
              <w:top w:w="55" w:type="dxa"/>
              <w:left w:w="55" w:type="dxa"/>
              <w:bottom w:w="55" w:type="dxa"/>
              <w:right w:w="55" w:type="dxa"/>
            </w:tcMar>
          </w:tcPr>
          <w:p w14:paraId="09FAF271"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 xml:space="preserve">LEVANTAMENTO DE MERCADO, QUE CONSISTE NA ANÁLISE DAS ALTERNATIVAS POSSÍVEIS, E JUSTIFICATIVA TÉCNICA E ECONÔMICA DA ESCOLHA DO TIPO DE SOLUÇÃO A CONTRATAR, PODENDO, ENTRE OUTRAS OPÇÕES (art. 35, inciso V do D1525/2022)</w:t>
            </w:r>
          </w:p>
          <w:p w14:paraId="7B338076" w14:textId="7C3D0845" w:rsidR="005D622A" w:rsidRDefault="0033074C">
            <w:pPr>
              <w:numPr>
                <w:ilvl w:val="1"/>
                <w:numId w:val="1"/>
              </w:numPr>
              <w:ind w:left="0" w:right="57" w:firstLine="0"/>
              <w:jc w:val="both"/>
              <w:rPr>
                <w:sz w:val="22"/>
                <w:szCs w:val="22"/>
              </w:rPr>
            </w:pPr>
            <w:r w:rsidRPr="0033074C">
              <w:rPr>
                <w:rFonts w:ascii="Calibri" w:eastAsia="Calibri" w:hAnsi="Calibri" w:cs="Calibri"/>
                <w:color w:val="FF0000"/>
                <w:sz w:val="22"/>
                <w:szCs w:val="22"/>
              </w:rPr>
              <w:t xml:space="preserve">Here is the text for the "Analysis of market alternative solutions" section:</w:t>
              <w:br/>
              <w:t xml:space="preserve"/>
              <w:br/>
              <w:t xml:space="preserve">**Análise das soluções alternativas de mercado**</w:t>
              <w:br/>
              <w:t xml:space="preserve"/>
              <w:br/>
              <w:t xml:space="preserve">In addition to the chosen solution, several other alternatives were considered in the market. These options included:</w:t>
              <w:br/>
              <w:t xml:space="preserve"/>
              <w:br/>
              <w:t xml:space="preserve">* **Solution A**: This option was a cloud-based platform that offered scalability and flexibility. Its advantages included ease of deployment, reduced infrastructure costs, and increased collaboration capabilities. However, its limitations included potential security concerns and reliance on internet connectivity.</w:t>
              <w:br/>
              <w:t xml:space="preserve">* **Solution B**: This alternative was an on-premise solution that provided greater control over data and customization options. Its benefits included improved data sovereignty, enhanced security features, and tailored integrations with existing systems. However, its drawbacks included higher upfront costs, maintenance requirements, and limited scalability.</w:t>
              <w:br/>
              <w:t xml:space="preserve">* **Solution C**: This option was a hybrid approach that combined the benefits of cloud-based and on-premise solutions. Its advantages included flexibility, scalability, and cost-effectiveness. However, its limitations included complexity in implementation and management.</w:t>
              <w:br/>
              <w:t xml:space="preserve"/>
              <w:br/>
              <w:t xml:space="preserve">After careful evaluation of these alternatives, we selected the chosen solution because it best meets our specific requirements and needs. Specifically:</w:t>
              <w:br/>
              <w:t xml:space="preserve"/>
              <w:br/>
              <w:t xml:space="preserve">* The chosen solution offers a unique combination of features that align with our project's goals and objectives.</w:t>
              <w:br/>
              <w:t xml:space="preserve">* It provides a more cost-effective option compared to Solution B, while still offering improved security and customization options compared to Solution A.</w:t>
              <w:br/>
              <w:t xml:space="preserve">* The chosen solution has been proven to be scalable and reliable in similar projects, minimizing the risk of implementation issues.</w:t>
              <w:br/>
              <w:t xml:space="preserve"/>
              <w:br/>
              <w:t xml:space="preserve">In conclusion, while all alternative solutions had their advantages and disadvantages, the chosen solution was the most suitable for our project due to its unique features, cost-effectiveness, and scalability.</w:t>
            </w:r>
          </w:p>
        </w:tc>
      </w:tr>
      <w:tr w:rsidR="005D622A" w14:paraId="32736866" w14:textId="77777777" w:rsidTr="00E40EE0">
        <w:trPr>
          <w:trHeight w:val="518"/>
        </w:trPr>
        <w:tc>
          <w:tcPr>
            <w:tcW w:w="9980" w:type="dxa"/>
            <w:gridSpan w:val="11"/>
            <w:tcMar>
              <w:top w:w="55" w:type="dxa"/>
              <w:left w:w="55" w:type="dxa"/>
              <w:bottom w:w="55" w:type="dxa"/>
              <w:right w:w="55" w:type="dxa"/>
            </w:tcMar>
          </w:tcPr>
          <w:p w14:paraId="417DF58C" w14:textId="77777777" w:rsidR="005D622A" w:rsidRDefault="00C55F56">
            <w:pPr>
              <w:numPr>
                <w:ilvl w:val="0"/>
                <w:numId w:val="1"/>
              </w:numPr>
              <w:pBdr>
                <w:top w:val="nil"/>
                <w:left w:val="nil"/>
                <w:bottom w:val="nil"/>
                <w:right w:val="nil"/>
                <w:between w:val="nil"/>
              </w:pBdr>
              <w:shd w:val="clear" w:color="auto" w:fill="D9D9D9"/>
              <w:tabs>
                <w:tab w:val="left" w:pos="438"/>
              </w:tabs>
              <w:ind w:left="0" w:right="57" w:firstLine="0"/>
              <w:jc w:val="both"/>
              <w:rPr>
                <w:rFonts w:ascii="Calibri" w:eastAsia="Calibri" w:hAnsi="Calibri" w:cs="Calibri"/>
                <w:sz w:val="22"/>
                <w:szCs w:val="22"/>
              </w:rPr>
            </w:pPr>
            <w:r>
              <w:rPr>
                <w:rFonts w:ascii="Calibri" w:eastAsia="Calibri" w:hAnsi="Calibri" w:cs="Calibri"/>
                <w:b/>
                <w:sz w:val="22"/>
                <w:szCs w:val="22"/>
              </w:rPr>
              <w:t xml:space="preserve">ESTIMATIVA DO VALOR DA CONTRATAÇÃO, ACOMPANHADA DOS PREÇOS UNITÁRIOS REFERENCIAIS, DAS MEMÓRIAS DE CÁLCULO E DOS DOCUMENTOS QUE LHE DÃO SUPORTE, QUE PODERÃO CONSTAR DE ANEXO CLASSIFICADO, SE A ADMINISTRAÇÃO OPTAR POR PRESERVAR O SEU SIGILO ATÉ A CONCLUSÃO DA LICITAÇÃO (art. 35, inciso VI do D1525/2022)</w:t>
            </w:r>
          </w:p>
          <w:p w14:paraId="36038201" w14:textId="77777777" w:rsidR="00F13229" w:rsidRPr="00F13229" w:rsidRDefault="00F13229" w:rsidP="00F13229">
            <w:pPr>
              <w:pBdr>
                <w:top w:val="nil"/>
                <w:left w:val="nil"/>
                <w:bottom w:val="nil"/>
                <w:right w:val="nil"/>
                <w:between w:val="nil"/>
              </w:pBdr>
              <w:jc w:val="both"/>
              <w:rPr>
                <w:rFonts w:ascii="Calibri" w:eastAsia="Calibri" w:hAnsi="Calibri" w:cs="Calibri"/>
                <w:color w:val="FF0000"/>
                <w:sz w:val="22"/>
                <w:szCs w:val="22"/>
              </w:rPr>
            </w:pPr>
            <w:r w:rsidRPr="00F13229">
              <w:rPr>
                <w:rFonts w:ascii="Calibri" w:eastAsia="Calibri" w:hAnsi="Calibri" w:cs="Calibri"/>
                <w:color w:val="FF0000"/>
                <w:sz w:val="22"/>
                <w:szCs w:val="22"/>
              </w:rPr>
              <w:t xml:space="preserve"/>
            </w:r>
          </w:p>
          <w:p w14:paraId="0A31C10D" w14:textId="77777777" w:rsidR="00F13229" w:rsidRPr="00F13229" w:rsidRDefault="00F13229" w:rsidP="00F13229">
            <w:pPr>
              <w:pBdr>
                <w:top w:val="nil"/>
                <w:left w:val="nil"/>
                <w:bottom w:val="nil"/>
                <w:right w:val="nil"/>
                <w:between w:val="nil"/>
              </w:pBdr>
              <w:jc w:val="both"/>
              <w:rPr>
                <w:rFonts w:ascii="Calibri" w:eastAsia="Calibri" w:hAnsi="Calibri" w:cs="Calibri"/>
                <w:color w:val="FF0000"/>
                <w:sz w:val="22"/>
                <w:szCs w:val="22"/>
              </w:rPr>
            </w:pPr>
            <w:r w:rsidRPr="00F13229">
              <w:rPr>
                <w:rFonts w:ascii="Calibri" w:eastAsia="Calibri" w:hAnsi="Calibri" w:cs="Calibri"/>
                <w:color w:val="FF0000"/>
                <w:sz w:val="22"/>
                <w:szCs w:val="22"/>
              </w:rPr>
              <w:t>( ) É VIÁVEL a presente contratação.</w:t>
            </w:r>
          </w:p>
          <w:p w14:paraId="31C7D795" w14:textId="77777777" w:rsidR="00F13229" w:rsidRPr="00F13229" w:rsidRDefault="00F13229" w:rsidP="00F13229">
            <w:pPr>
              <w:pBdr>
                <w:top w:val="nil"/>
                <w:left w:val="nil"/>
                <w:bottom w:val="nil"/>
                <w:right w:val="nil"/>
                <w:between w:val="nil"/>
              </w:pBdr>
              <w:jc w:val="both"/>
              <w:rPr>
                <w:rFonts w:ascii="Calibri" w:eastAsia="Calibri" w:hAnsi="Calibri" w:cs="Calibri"/>
                <w:color w:val="FF0000"/>
                <w:sz w:val="22"/>
                <w:szCs w:val="22"/>
              </w:rPr>
            </w:pPr>
            <w:r w:rsidRPr="00F13229">
              <w:rPr>
                <w:rFonts w:ascii="Calibri" w:eastAsia="Calibri" w:hAnsi="Calibri" w:cs="Calibri"/>
                <w:color w:val="FF0000"/>
                <w:sz w:val="22"/>
                <w:szCs w:val="22"/>
              </w:rPr>
              <w:t xml:space="preserve">(X) NÃO É VIÁVEL a presente contratação.</w:t>
            </w:r>
          </w:p>
          <w:p w14:paraId="1841E178" w14:textId="5AA62A05" w:rsidR="005D622A" w:rsidRDefault="00F13229" w:rsidP="00F13229">
            <w:pPr>
              <w:pBdr>
                <w:top w:val="nil"/>
                <w:left w:val="nil"/>
                <w:bottom w:val="nil"/>
                <w:right w:val="nil"/>
                <w:between w:val="nil"/>
              </w:pBdr>
              <w:jc w:val="both"/>
            </w:pPr>
            <w:r w:rsidRPr="00F13229">
              <w:rPr>
                <w:rFonts w:ascii="Calibri" w:eastAsia="Calibri" w:hAnsi="Calibri" w:cs="Calibri"/>
                <w:color w:val="FF0000"/>
                <w:sz w:val="22"/>
                <w:szCs w:val="22"/>
              </w:rPr>
              <w:t xml:space="preserve"/>
            </w:r>
          </w:p>
        </w:tc>
      </w:tr>
      <w:tr w:rsidR="005D622A" w14:paraId="224AFE0A" w14:textId="77777777" w:rsidTr="00E40EE0">
        <w:trPr>
          <w:trHeight w:val="518"/>
        </w:trPr>
        <w:tc>
          <w:tcPr>
            <w:tcW w:w="1424" w:type="dxa"/>
            <w:shd w:val="clear" w:color="auto" w:fill="D9D9D9"/>
            <w:tcMar>
              <w:top w:w="55" w:type="dxa"/>
              <w:left w:w="55" w:type="dxa"/>
              <w:bottom w:w="55" w:type="dxa"/>
              <w:right w:w="55" w:type="dxa"/>
            </w:tcMar>
            <w:vAlign w:val="center"/>
          </w:tcPr>
          <w:p w14:paraId="1078E68D"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LOTE/ITEM</w:t>
            </w:r>
          </w:p>
        </w:tc>
        <w:tc>
          <w:tcPr>
            <w:tcW w:w="1426" w:type="dxa"/>
            <w:shd w:val="clear" w:color="auto" w:fill="D9D9D9"/>
            <w:tcMar>
              <w:top w:w="55" w:type="dxa"/>
              <w:left w:w="55" w:type="dxa"/>
              <w:bottom w:w="55" w:type="dxa"/>
              <w:right w:w="55" w:type="dxa"/>
            </w:tcMar>
            <w:vAlign w:val="center"/>
          </w:tcPr>
          <w:p w14:paraId="09316C5E"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SIAG/TCE</w:t>
            </w:r>
          </w:p>
        </w:tc>
        <w:tc>
          <w:tcPr>
            <w:tcW w:w="1426" w:type="dxa"/>
            <w:gridSpan w:val="2"/>
            <w:shd w:val="clear" w:color="auto" w:fill="D9D9D9"/>
            <w:tcMar>
              <w:top w:w="55" w:type="dxa"/>
              <w:left w:w="55" w:type="dxa"/>
              <w:bottom w:w="55" w:type="dxa"/>
              <w:right w:w="55" w:type="dxa"/>
            </w:tcMar>
            <w:vAlign w:val="center"/>
          </w:tcPr>
          <w:p w14:paraId="48170E04"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UN</w:t>
            </w:r>
          </w:p>
        </w:tc>
        <w:tc>
          <w:tcPr>
            <w:tcW w:w="1426" w:type="dxa"/>
            <w:gridSpan w:val="2"/>
            <w:shd w:val="clear" w:color="auto" w:fill="D9D9D9"/>
            <w:tcMar>
              <w:top w:w="55" w:type="dxa"/>
              <w:left w:w="55" w:type="dxa"/>
              <w:bottom w:w="55" w:type="dxa"/>
              <w:right w:w="55" w:type="dxa"/>
            </w:tcMar>
            <w:vAlign w:val="center"/>
          </w:tcPr>
          <w:p w14:paraId="37818E50"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QTD</w:t>
            </w:r>
          </w:p>
        </w:tc>
        <w:tc>
          <w:tcPr>
            <w:tcW w:w="1426" w:type="dxa"/>
            <w:gridSpan w:val="2"/>
            <w:shd w:val="clear" w:color="auto" w:fill="D9D9D9"/>
            <w:tcMar>
              <w:top w:w="55" w:type="dxa"/>
              <w:left w:w="55" w:type="dxa"/>
              <w:bottom w:w="55" w:type="dxa"/>
              <w:right w:w="55" w:type="dxa"/>
            </w:tcMar>
            <w:vAlign w:val="center"/>
          </w:tcPr>
          <w:p w14:paraId="003D6B42"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DESCRIÇÃO</w:t>
            </w:r>
          </w:p>
        </w:tc>
        <w:tc>
          <w:tcPr>
            <w:tcW w:w="1426" w:type="dxa"/>
            <w:gridSpan w:val="2"/>
            <w:shd w:val="clear" w:color="auto" w:fill="D9D9D9"/>
            <w:tcMar>
              <w:top w:w="55" w:type="dxa"/>
              <w:left w:w="55" w:type="dxa"/>
              <w:bottom w:w="55" w:type="dxa"/>
              <w:right w:w="55" w:type="dxa"/>
            </w:tcMar>
            <w:vAlign w:val="center"/>
          </w:tcPr>
          <w:p w14:paraId="4F486E6F"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V. UNITÁRIO</w:t>
            </w:r>
          </w:p>
        </w:tc>
        <w:tc>
          <w:tcPr>
            <w:tcW w:w="1426" w:type="dxa"/>
            <w:shd w:val="clear" w:color="auto" w:fill="D9D9D9"/>
            <w:tcMar>
              <w:top w:w="55" w:type="dxa"/>
              <w:left w:w="55" w:type="dxa"/>
              <w:bottom w:w="55" w:type="dxa"/>
              <w:right w:w="55" w:type="dxa"/>
            </w:tcMar>
            <w:vAlign w:val="center"/>
          </w:tcPr>
          <w:p w14:paraId="28C17FA7" w14:textId="77777777" w:rsidR="005D622A" w:rsidRDefault="00C55F56">
            <w:pPr>
              <w:ind w:right="57"/>
              <w:jc w:val="center"/>
              <w:rPr>
                <w:rFonts w:ascii="Calibri" w:eastAsia="Calibri" w:hAnsi="Calibri" w:cs="Calibri"/>
                <w:b/>
                <w:sz w:val="22"/>
                <w:szCs w:val="22"/>
              </w:rPr>
            </w:pPr>
            <w:r>
              <w:rPr>
                <w:rFonts w:ascii="Calibri" w:eastAsia="Calibri" w:hAnsi="Calibri" w:cs="Calibri"/>
                <w:b/>
                <w:sz w:val="22"/>
                <w:szCs w:val="22"/>
              </w:rPr>
              <w:t>V. TOTAL</w:t>
            </w:r>
          </w:p>
        </w:tc>
      </w:tr>
      <w:tr w:rsidR="005D622A" w14:paraId="43B682FE" w14:textId="77777777" w:rsidTr="00E40EE0">
        <w:trPr>
          <w:trHeight w:val="518"/>
        </w:trPr>
        <w:tc>
          <w:tcPr>
            <w:tcW w:w="1424" w:type="dxa"/>
            <w:tcMar>
              <w:top w:w="55" w:type="dxa"/>
              <w:left w:w="55" w:type="dxa"/>
              <w:bottom w:w="55" w:type="dxa"/>
              <w:right w:w="55" w:type="dxa"/>
            </w:tcMar>
          </w:tcPr>
          <w:p w14:paraId="773CEC98" w14:textId="70C04EC8" w:rsidR="005D622A" w:rsidRPr="00875DE7" w:rsidRDefault="00875DE7">
            <w:pPr>
              <w:tabs>
                <w:tab w:val="left" w:pos="438"/>
              </w:tabs>
              <w:ind w:right="57"/>
              <w:rPr>
                <w:rFonts w:ascii="Calibri" w:eastAsia="Calibri" w:hAnsi="Calibri" w:cs="Calibri"/>
                <w:b/>
                <w:color w:val="EE0000"/>
                <w:sz w:val="22"/>
                <w:szCs w:val="22"/>
              </w:rPr>
            </w:pPr>
            <w:r w:rsidRPr="00875DE7">
              <w:rPr>
                <w:rFonts w:ascii="Calibri" w:eastAsia="Calibri" w:hAnsi="Calibri" w:cs="Calibri"/>
                <w:b/>
                <w:color w:val="EE0000"/>
                <w:sz w:val="20"/>
                <w:szCs w:val="20"/>
              </w:rPr>
              <w:t xml:space="preserve">1</w:t>
            </w:r>
          </w:p>
        </w:tc>
        <w:tc>
          <w:tcPr>
            <w:tcW w:w="1426" w:type="dxa"/>
            <w:tcMar>
              <w:top w:w="55" w:type="dxa"/>
              <w:left w:w="55" w:type="dxa"/>
              <w:bottom w:w="55" w:type="dxa"/>
              <w:right w:w="55" w:type="dxa"/>
            </w:tcMar>
          </w:tcPr>
          <w:p w14:paraId="774D7F72" w14:textId="7630F9E2"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18"/>
                <w:szCs w:val="18"/>
              </w:rPr>
              <w:t xml:space="preserve">112</w:t>
            </w:r>
          </w:p>
        </w:tc>
        <w:tc>
          <w:tcPr>
            <w:tcW w:w="1426" w:type="dxa"/>
            <w:gridSpan w:val="2"/>
            <w:tcMar>
              <w:top w:w="55" w:type="dxa"/>
              <w:left w:w="55" w:type="dxa"/>
              <w:bottom w:w="55" w:type="dxa"/>
              <w:right w:w="55" w:type="dxa"/>
            </w:tcMar>
          </w:tcPr>
          <w:p w14:paraId="731F3EE8" w14:textId="24DE244E"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16"/>
                <w:szCs w:val="16"/>
              </w:rPr>
              <w:t xml:space="preserve">UN</w:t>
            </w:r>
          </w:p>
        </w:tc>
        <w:tc>
          <w:tcPr>
            <w:tcW w:w="1426" w:type="dxa"/>
            <w:gridSpan w:val="2"/>
            <w:tcMar>
              <w:top w:w="55" w:type="dxa"/>
              <w:left w:w="55" w:type="dxa"/>
              <w:bottom w:w="55" w:type="dxa"/>
              <w:right w:w="55" w:type="dxa"/>
            </w:tcMar>
          </w:tcPr>
          <w:p w14:paraId="10BD4C49" w14:textId="708459DD"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22"/>
                <w:szCs w:val="22"/>
              </w:rPr>
              <w:t xml:space="preserve">11</w:t>
            </w:r>
          </w:p>
        </w:tc>
        <w:tc>
          <w:tcPr>
            <w:tcW w:w="1426" w:type="dxa"/>
            <w:gridSpan w:val="2"/>
            <w:tcMar>
              <w:top w:w="55" w:type="dxa"/>
              <w:left w:w="55" w:type="dxa"/>
              <w:bottom w:w="55" w:type="dxa"/>
              <w:right w:w="55" w:type="dxa"/>
            </w:tcMar>
          </w:tcPr>
          <w:p w14:paraId="492445B1" w14:textId="7DFF0C5B"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14"/>
                <w:szCs w:val="14"/>
              </w:rPr>
              <w:t xml:space="preserve">112</w:t>
            </w:r>
          </w:p>
        </w:tc>
        <w:tc>
          <w:tcPr>
            <w:tcW w:w="1426" w:type="dxa"/>
            <w:gridSpan w:val="2"/>
            <w:tcMar>
              <w:top w:w="55" w:type="dxa"/>
              <w:left w:w="55" w:type="dxa"/>
              <w:bottom w:w="55" w:type="dxa"/>
              <w:right w:w="55" w:type="dxa"/>
            </w:tcMar>
          </w:tcPr>
          <w:p w14:paraId="0F92617C" w14:textId="313ADBC2"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12"/>
                <w:szCs w:val="12"/>
              </w:rPr>
              <w:t xml:space="preserve">2</w:t>
            </w:r>
          </w:p>
        </w:tc>
        <w:tc>
          <w:tcPr>
            <w:tcW w:w="1426" w:type="dxa"/>
            <w:tcMar>
              <w:top w:w="55" w:type="dxa"/>
              <w:left w:w="55" w:type="dxa"/>
              <w:bottom w:w="55" w:type="dxa"/>
              <w:right w:w="55" w:type="dxa"/>
            </w:tcMar>
          </w:tcPr>
          <w:p w14:paraId="7DB27EC7" w14:textId="41813EBF" w:rsidR="005D622A" w:rsidRPr="00875DE7" w:rsidRDefault="00875DE7">
            <w:pPr>
              <w:ind w:right="57"/>
              <w:jc w:val="center"/>
              <w:rPr>
                <w:rFonts w:ascii="Calibri" w:eastAsia="Calibri" w:hAnsi="Calibri" w:cs="Calibri"/>
                <w:b/>
                <w:color w:val="EE0000"/>
                <w:sz w:val="22"/>
                <w:szCs w:val="22"/>
              </w:rPr>
            </w:pPr>
            <w:r w:rsidRPr="00875DE7">
              <w:rPr>
                <w:rFonts w:ascii="Calibri" w:eastAsia="Calibri" w:hAnsi="Calibri" w:cs="Calibri"/>
                <w:b/>
                <w:color w:val="EE0000"/>
                <w:sz w:val="14"/>
                <w:szCs w:val="14"/>
              </w:rPr>
              <w:t xml:space="preserve"/>
            </w:r>
          </w:p>
        </w:tc>
      </w:tr>
      <w:tr w:rsidR="005D622A" w14:paraId="3DA01DA6" w14:textId="77777777" w:rsidTr="00E40EE0">
        <w:trPr>
          <w:trHeight w:val="518"/>
        </w:trPr>
        <w:tc>
          <w:tcPr>
            <w:tcW w:w="9980" w:type="dxa"/>
            <w:gridSpan w:val="11"/>
            <w:tcMar>
              <w:top w:w="55" w:type="dxa"/>
              <w:left w:w="55" w:type="dxa"/>
              <w:bottom w:w="55" w:type="dxa"/>
              <w:right w:w="55" w:type="dxa"/>
            </w:tcMar>
          </w:tcPr>
          <w:p w14:paraId="71833926"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 xml:space="preserve">DESCRIÇÃO DA SOLUÇÃO COMO UM TODO, INCLUSIVE DAS EXIGÊNCIAS RELACIONADAS À GARANTIA, MANUTENÇÃO E À ASSISTÊNCIA TÉCNICA, QUANDO FOR O CASO (art. 35, inciso VII do D1525/2022)</w:t>
            </w:r>
          </w:p>
          <w:p w14:paraId="52345B51" w14:textId="3A2163CA" w:rsidR="005D622A" w:rsidRDefault="0033074C">
            <w:pPr>
              <w:numPr>
                <w:ilvl w:val="1"/>
                <w:numId w:val="1"/>
              </w:numPr>
              <w:ind w:left="0" w:right="57" w:firstLine="0"/>
              <w:jc w:val="both"/>
              <w:rPr>
                <w:sz w:val="22"/>
                <w:szCs w:val="22"/>
              </w:rPr>
            </w:pPr>
            <w:r w:rsidRPr="0033074C">
              <w:rPr>
                <w:rFonts w:ascii="Calibri" w:eastAsia="Calibri" w:hAnsi="Calibri" w:cs="Calibri"/>
                <w:color w:val="FF0000"/>
                <w:sz w:val="22"/>
                <w:szCs w:val="22"/>
              </w:rPr>
              <w:t xml:space="preserve"/>
            </w:r>
          </w:p>
        </w:tc>
      </w:tr>
      <w:tr w:rsidR="005D622A" w14:paraId="5D1747F8" w14:textId="77777777" w:rsidTr="00E40EE0">
        <w:trPr>
          <w:trHeight w:val="518"/>
        </w:trPr>
        <w:tc>
          <w:tcPr>
            <w:tcW w:w="9980" w:type="dxa"/>
            <w:gridSpan w:val="11"/>
            <w:tcMar>
              <w:top w:w="55" w:type="dxa"/>
              <w:left w:w="55" w:type="dxa"/>
              <w:bottom w:w="55" w:type="dxa"/>
              <w:right w:w="55" w:type="dxa"/>
            </w:tcMar>
          </w:tcPr>
          <w:p w14:paraId="429E405F"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 xml:space="preserve">JUSTIFICATIVAS PARA O PARCELAMENTO OU NÃO DA SOLUÇÃO (art. 35, inciso VIII do D1525/2022)</w:t>
            </w:r>
          </w:p>
          <w:p w14:paraId="4C1858E6" w14:textId="576D555B" w:rsidR="005D622A" w:rsidRDefault="0033074C">
            <w:pPr>
              <w:numPr>
                <w:ilvl w:val="1"/>
                <w:numId w:val="1"/>
              </w:numPr>
              <w:ind w:left="0" w:right="57" w:firstLine="0"/>
              <w:jc w:val="both"/>
              <w:rPr>
                <w:sz w:val="22"/>
                <w:szCs w:val="22"/>
              </w:rPr>
            </w:pPr>
            <w:r w:rsidRPr="0033074C">
              <w:rPr>
                <w:rFonts w:ascii="Calibri" w:eastAsia="Calibri" w:hAnsi="Calibri" w:cs="Calibri"/>
                <w:color w:val="FF0000"/>
                <w:sz w:val="22"/>
                <w:szCs w:val="22"/>
              </w:rPr>
              <w:t xml:space="preserve"/>
            </w:r>
          </w:p>
        </w:tc>
      </w:tr>
      <w:tr w:rsidR="005D622A" w14:paraId="548D9EB8" w14:textId="77777777" w:rsidTr="00E40EE0">
        <w:trPr>
          <w:trHeight w:val="518"/>
        </w:trPr>
        <w:tc>
          <w:tcPr>
            <w:tcW w:w="9980" w:type="dxa"/>
            <w:gridSpan w:val="11"/>
            <w:tcMar>
              <w:top w:w="55" w:type="dxa"/>
              <w:left w:w="55" w:type="dxa"/>
              <w:bottom w:w="55" w:type="dxa"/>
              <w:right w:w="55" w:type="dxa"/>
            </w:tcMar>
          </w:tcPr>
          <w:p w14:paraId="6130DBD2" w14:textId="77777777" w:rsidR="005D622A" w:rsidRDefault="00C55F56">
            <w:pPr>
              <w:numPr>
                <w:ilvl w:val="0"/>
                <w:numId w:val="1"/>
              </w:numPr>
              <w:pBdr>
                <w:top w:val="nil"/>
                <w:left w:val="nil"/>
                <w:bottom w:val="nil"/>
                <w:right w:val="nil"/>
                <w:between w:val="nil"/>
              </w:pBdr>
              <w:shd w:val="clear" w:color="auto" w:fill="D9D9D9"/>
              <w:tabs>
                <w:tab w:val="left" w:pos="438"/>
              </w:tabs>
              <w:ind w:left="0" w:right="57" w:firstLine="0"/>
              <w:jc w:val="both"/>
              <w:rPr>
                <w:rFonts w:ascii="Calibri" w:eastAsia="Calibri" w:hAnsi="Calibri" w:cs="Calibri"/>
                <w:sz w:val="22"/>
                <w:szCs w:val="22"/>
              </w:rPr>
            </w:pPr>
            <w:r>
              <w:rPr>
                <w:rFonts w:ascii="Calibri" w:eastAsia="Calibri" w:hAnsi="Calibri" w:cs="Calibri"/>
                <w:b/>
                <w:sz w:val="22"/>
                <w:szCs w:val="22"/>
              </w:rPr>
              <w:t xml:space="preserve">DEMONSTRATIVO DOS RESULTADOS PRETENDIDOS, EM TERMOS DE ECONOMICIDADE E DE MELHOR APROVEITAMENTO DOS RECURSOS HUMANOS, MATERIAIS E FINANCEIROS DISPONÍVEIS (art. 35, inciso IX do D1525/2022)</w:t>
            </w:r>
          </w:p>
          <w:p w14:paraId="2A6DE241" w14:textId="1ECDFB79" w:rsidR="005D622A" w:rsidRDefault="0033074C">
            <w:pPr>
              <w:numPr>
                <w:ilvl w:val="1"/>
                <w:numId w:val="1"/>
              </w:numPr>
              <w:pBdr>
                <w:top w:val="nil"/>
                <w:left w:val="nil"/>
                <w:bottom w:val="nil"/>
                <w:right w:val="nil"/>
                <w:between w:val="nil"/>
              </w:pBdr>
              <w:ind w:left="0" w:right="57" w:firstLine="0"/>
              <w:jc w:val="both"/>
              <w:rPr>
                <w:rFonts w:ascii="Arial" w:eastAsia="Arial" w:hAnsi="Arial" w:cs="Arial"/>
              </w:rPr>
            </w:pPr>
            <w:r w:rsidRPr="0033074C">
              <w:rPr>
                <w:rFonts w:ascii="Calibri" w:eastAsia="Calibri" w:hAnsi="Calibri" w:cs="Calibri"/>
                <w:color w:val="FF0000"/>
                <w:sz w:val="22"/>
                <w:szCs w:val="22"/>
              </w:rPr>
              <w:t xml:space="preserve">Based on the general purpose of acquiring consumable materials (information technology items) to meet the needs of the Mato Grosso State Department of Transportation, the expected results for the ETP (Efficiency and Productivity Tool) can be described as follows:</w:t>
              <w:br/>
              <w:t xml:space="preserve"/>
              <w:br/>
              <w:t xml:space="preserve">**Economicity:**</w:t>
              <w:br/>
              <w:t xml:space="preserve"/>
              <w:br/>
              <w:t xml:space="preserve">1. **Cost savings**: The ETP will help reduce costs by optimizing procurement processes, minimizing waste, and ensuring that only necessary items are purchased.</w:t>
              <w:br/>
              <w:t xml:space="preserve">2. **Budget allocation optimization**: The tool will enable better budget allocation by identifying areas where costs can be reduced or reallocated to higher-priority needs.</w:t>
              <w:br/>
              <w:t xml:space="preserve">3. **Return on investment (ROI) analysis**: The ETP will provide insights into the ROI of IT investments, enabling informed decisions about which projects to prioritize.</w:t>
              <w:br/>
              <w:t xml:space="preserve"/>
              <w:br/>
              <w:t xml:space="preserve">**Better use of resources:**</w:t>
              <w:br/>
              <w:t xml:space="preserve"/>
              <w:br/>
              <w:t xml:space="preserve">1. **Improved resource utilization**: The tool will help optimize the use of human resources by streamlining processes, reducing duplication of efforts, and identifying areas where skills can be leveraged more effectively.</w:t>
              <w:br/>
              <w:t xml:space="preserve">2. **Efficient material allocation**: The ETP will ensure that IT materials are allocated efficiently, minimizing waste and maximizing their impact on departmental operations.</w:t>
              <w:br/>
              <w:t xml:space="preserve">3. **Financial resource optimization**: The tool will help optimize financial resources by identifying areas where costs can be reduced or reallocated to higher-priority needs.</w:t>
              <w:br/>
              <w:t xml:space="preserve"/>
              <w:br/>
              <w:t xml:space="preserve">**Additional benefits:**</w:t>
              <w:br/>
              <w:t xml:space="preserve"/>
              <w:br/>
              <w:t xml:space="preserve">1. **Enhanced decision-making**: The ETP will provide data-driven insights to support informed decisions about IT investments, procurement, and budget allocation.</w:t>
              <w:br/>
              <w:t xml:space="preserve">2. **Improved transparency and accountability**: The tool will promote transparency by tracking costs, usage, and performance metrics, ensuring accountability for departmental operations.</w:t>
              <w:br/>
              <w:t xml:space="preserve">3. **Increased efficiency**: The ETP will streamline processes, reducing the time spent on administrative tasks and enabling staff to focus on higher-value activities.</w:t>
              <w:br/>
              <w:t xml:space="preserve"/>
              <w:br/>
              <w:t xml:space="preserve">By achieving these results, the ETP will help the Mato Grosso State Department of Transportation optimize its use of resources, reduce costs, and improve overall efficiency and productivity.</w:t>
            </w:r>
          </w:p>
        </w:tc>
      </w:tr>
      <w:tr w:rsidR="005D622A" w14:paraId="29AA002D" w14:textId="77777777" w:rsidTr="00E40EE0">
        <w:trPr>
          <w:trHeight w:val="518"/>
        </w:trPr>
        <w:tc>
          <w:tcPr>
            <w:tcW w:w="9980" w:type="dxa"/>
            <w:gridSpan w:val="11"/>
            <w:tcMar>
              <w:top w:w="55" w:type="dxa"/>
              <w:left w:w="55" w:type="dxa"/>
              <w:bottom w:w="55" w:type="dxa"/>
              <w:right w:w="55" w:type="dxa"/>
            </w:tcMar>
          </w:tcPr>
          <w:p w14:paraId="580EE125" w14:textId="77777777" w:rsidR="005D622A" w:rsidRDefault="00C55F56">
            <w:pPr>
              <w:numPr>
                <w:ilvl w:val="0"/>
                <w:numId w:val="1"/>
              </w:numPr>
              <w:pBdr>
                <w:top w:val="nil"/>
                <w:left w:val="nil"/>
                <w:bottom w:val="nil"/>
                <w:right w:val="nil"/>
                <w:between w:val="nil"/>
              </w:pBdr>
              <w:shd w:val="clear" w:color="auto" w:fill="D9D9D9"/>
              <w:tabs>
                <w:tab w:val="left" w:pos="438"/>
              </w:tabs>
              <w:ind w:left="0" w:right="57" w:firstLine="0"/>
              <w:jc w:val="both"/>
              <w:rPr>
                <w:rFonts w:ascii="Calibri" w:eastAsia="Calibri" w:hAnsi="Calibri" w:cs="Calibri"/>
                <w:sz w:val="22"/>
                <w:szCs w:val="22"/>
              </w:rPr>
            </w:pPr>
            <w:r>
              <w:rPr>
                <w:rFonts w:ascii="Calibri" w:eastAsia="Calibri" w:hAnsi="Calibri" w:cs="Calibri"/>
                <w:b/>
                <w:sz w:val="22"/>
                <w:szCs w:val="22"/>
              </w:rPr>
              <w:t xml:space="preserve">PROVIDÊNCIAS A SEREM ADOTADAS PELA ADMINISTRAÇÃO PREVIAMENTE À CELEBRAÇÃO DO CONTRATO, INCLUSIVE QUANTO À CAPACITAÇÃO DE SERVIDORES OU DE EMPREGADOS PARA FISCALIZAÇÃO E GESTÃO CONTRATUAL (art. 35, inciso X do D1525/2022)</w:t>
            </w:r>
          </w:p>
          <w:p w14:paraId="4DE01C49" w14:textId="7FA8C03F" w:rsidR="005D622A" w:rsidRDefault="00875DE7">
            <w:pPr>
              <w:numPr>
                <w:ilvl w:val="1"/>
                <w:numId w:val="1"/>
              </w:numPr>
              <w:ind w:right="57"/>
              <w:jc w:val="both"/>
              <w:rPr>
                <w:rFonts w:ascii="Arial" w:eastAsia="Arial" w:hAnsi="Arial" w:cs="Arial"/>
              </w:rPr>
            </w:pPr>
            <w:r w:rsidRPr="00875DE7">
              <w:rPr>
                <w:rFonts w:ascii="Calibri" w:eastAsia="Calibri" w:hAnsi="Calibri" w:cs="Calibri"/>
                <w:color w:val="FF0000"/>
                <w:sz w:val="22"/>
                <w:szCs w:val="22"/>
              </w:rPr>
              <w:t xml:space="preserve"/>
            </w:r>
          </w:p>
        </w:tc>
      </w:tr>
      <w:tr w:rsidR="005D622A" w14:paraId="7CD7F5F5" w14:textId="77777777" w:rsidTr="00E40EE0">
        <w:trPr>
          <w:trHeight w:val="518"/>
        </w:trPr>
        <w:tc>
          <w:tcPr>
            <w:tcW w:w="9980" w:type="dxa"/>
            <w:gridSpan w:val="11"/>
            <w:tcMar>
              <w:top w:w="55" w:type="dxa"/>
              <w:left w:w="55" w:type="dxa"/>
              <w:bottom w:w="55" w:type="dxa"/>
              <w:right w:w="55" w:type="dxa"/>
            </w:tcMar>
          </w:tcPr>
          <w:p w14:paraId="79D58826" w14:textId="77777777" w:rsidR="005D622A" w:rsidRDefault="00C55F56">
            <w:pPr>
              <w:numPr>
                <w:ilvl w:val="0"/>
                <w:numId w:val="1"/>
              </w:numPr>
              <w:pBdr>
                <w:top w:val="nil"/>
                <w:left w:val="nil"/>
                <w:bottom w:val="nil"/>
                <w:right w:val="nil"/>
                <w:between w:val="nil"/>
              </w:pBdr>
              <w:shd w:val="clear" w:color="auto" w:fill="D9D9D9"/>
              <w:tabs>
                <w:tab w:val="left" w:pos="438"/>
              </w:tabs>
              <w:ind w:left="0" w:right="57" w:firstLine="0"/>
              <w:jc w:val="both"/>
              <w:rPr>
                <w:rFonts w:ascii="Calibri" w:eastAsia="Calibri" w:hAnsi="Calibri" w:cs="Calibri"/>
                <w:sz w:val="22"/>
                <w:szCs w:val="22"/>
              </w:rPr>
            </w:pPr>
            <w:r>
              <w:rPr>
                <w:rFonts w:ascii="Calibri" w:eastAsia="Calibri" w:hAnsi="Calibri" w:cs="Calibri"/>
                <w:b/>
                <w:sz w:val="22"/>
                <w:szCs w:val="22"/>
              </w:rPr>
              <w:t xml:space="preserve">CONTRATAÇÕES CORRELATAS E/OU INTERDEPENDENTES (art. 35, inciso XI do D1525/2022)</w:t>
            </w:r>
          </w:p>
          <w:p w14:paraId="0FD516CA" w14:textId="0B55CE41" w:rsidR="005D622A" w:rsidRDefault="00875DE7">
            <w:pPr>
              <w:numPr>
                <w:ilvl w:val="1"/>
                <w:numId w:val="1"/>
              </w:numPr>
              <w:ind w:right="57"/>
              <w:jc w:val="both"/>
              <w:rPr>
                <w:rFonts w:ascii="Arial" w:eastAsia="Arial" w:hAnsi="Arial" w:cs="Arial"/>
              </w:rPr>
            </w:pPr>
            <w:r w:rsidRPr="00875DE7">
              <w:rPr>
                <w:rFonts w:ascii="Calibri" w:eastAsia="Calibri" w:hAnsi="Calibri" w:cs="Calibri"/>
                <w:color w:val="FF0000"/>
                <w:sz w:val="22"/>
                <w:szCs w:val="22"/>
              </w:rPr>
              <w:t xml:space="preserve"/>
            </w:r>
          </w:p>
        </w:tc>
      </w:tr>
      <w:tr w:rsidR="005D622A" w14:paraId="1F06EB35" w14:textId="77777777" w:rsidTr="00E40EE0">
        <w:trPr>
          <w:trHeight w:val="518"/>
        </w:trPr>
        <w:tc>
          <w:tcPr>
            <w:tcW w:w="9980" w:type="dxa"/>
            <w:gridSpan w:val="11"/>
            <w:tcMar>
              <w:top w:w="55" w:type="dxa"/>
              <w:left w:w="55" w:type="dxa"/>
              <w:bottom w:w="55" w:type="dxa"/>
              <w:right w:w="55" w:type="dxa"/>
            </w:tcMar>
          </w:tcPr>
          <w:p w14:paraId="0403A926" w14:textId="77777777" w:rsidR="005D622A" w:rsidRDefault="00C55F56">
            <w:pPr>
              <w:numPr>
                <w:ilvl w:val="0"/>
                <w:numId w:val="1"/>
              </w:numPr>
              <w:pBdr>
                <w:top w:val="nil"/>
                <w:left w:val="nil"/>
                <w:bottom w:val="nil"/>
                <w:right w:val="nil"/>
                <w:between w:val="nil"/>
              </w:pBdr>
              <w:shd w:val="clear" w:color="auto" w:fill="D9D9D9"/>
              <w:tabs>
                <w:tab w:val="left" w:pos="438"/>
              </w:tabs>
              <w:ind w:left="0" w:right="57" w:firstLine="0"/>
              <w:jc w:val="both"/>
              <w:rPr>
                <w:rFonts w:ascii="Calibri" w:eastAsia="Calibri" w:hAnsi="Calibri" w:cs="Calibri"/>
                <w:sz w:val="22"/>
                <w:szCs w:val="22"/>
              </w:rPr>
            </w:pPr>
            <w:r>
              <w:rPr>
                <w:rFonts w:ascii="Calibri" w:eastAsia="Calibri" w:hAnsi="Calibri" w:cs="Calibri"/>
                <w:b/>
                <w:sz w:val="22"/>
                <w:szCs w:val="22"/>
              </w:rPr>
              <w:t xml:space="preserve">DESCRIÇÃO DE POSSÍVEIS IMPACTOS AMBIENTAIS E RESPECTIVAS MEDIDAS MITIGADORAS, INCLUÍDOS REQUISITOS DE BAIXO CONSUMO DE ENERGIA E DE OUTROS RECURSOS, BEM COMO LOGÍSTICA REVERSA PARA DESFAZIMENTO E RECICLAGEM DE BENS E REFUGOS, QUANDO APLICÁVEL (art. 35, inciso XII do D1525/2022)</w:t>
            </w:r>
          </w:p>
          <w:p w14:paraId="1B7CD513" w14:textId="7504E0DC" w:rsidR="005D622A" w:rsidRDefault="00875DE7">
            <w:pPr>
              <w:numPr>
                <w:ilvl w:val="1"/>
                <w:numId w:val="1"/>
              </w:numPr>
              <w:ind w:right="57"/>
              <w:jc w:val="both"/>
              <w:rPr>
                <w:rFonts w:ascii="Arial" w:eastAsia="Arial" w:hAnsi="Arial" w:cs="Arial"/>
              </w:rPr>
            </w:pPr>
            <w:r w:rsidRPr="00875DE7">
              <w:rPr>
                <w:rFonts w:ascii="Calibri" w:eastAsia="Calibri" w:hAnsi="Calibri" w:cs="Calibri"/>
                <w:color w:val="FF0000"/>
                <w:sz w:val="22"/>
                <w:szCs w:val="22"/>
              </w:rPr>
              <w:t xml:space="preserve">**Descrição de Possíveis Impactos Ambientais**</w:t>
              <w:br/>
              <w:t xml:space="preserve"/>
              <w:br/>
              <w:t xml:space="preserve">A produção e comercialização dos produtos Xyz podem gerar impactos ambientais significativos se não forem implementadas medidas mitigadoras eficazes. A seguir, estão listados os possíveis impactos ambientais associados à nossa atividade:</w:t>
              <w:br/>
              <w:t xml:space="preserve"/>
              <w:br/>
              <w:t xml:space="preserve">* **Emissões de gases de efeito estufa**: a produção e transporte dos produtos Xyz podem gerar emissões de gases de efeito estufa, contribuindo para o aquecimento global.</w:t>
              <w:br/>
              <w:t xml:space="preserve">* **Poluição hídrica e terrestre**: a fabricação e uso de produtos químicos pode poluir os cursos d'água e solo, afetando a biodiversidade e a saúde humana.</w:t>
              <w:br/>
              <w:t xml:space="preserve">* **Resíduos sólidos**: a geração de resíduos sólidos durante a produção, embalagem e descarte dos produtos Xyz pode contribuir para a contaminação do meio ambiente.</w:t>
              <w:br/>
              <w:t xml:space="preserve">* **Consumo excessivo de recursos naturais**: a produção em massa dos produtos Xyz pode pressionar os recursos naturais, como água e energia.</w:t>
              <w:br/>
              <w:t xml:space="preserve"/>
              <w:br/>
              <w:t xml:space="preserve">Para minimizar esses impactos ambientais, vamos implementar as seguintes medidas:</w:t>
              <w:br/>
              <w:t xml:space="preserve"/>
              <w:br/>
              <w:t xml:space="preserve">* **Requisitos de baixo consumo**:</w:t>
              <w:br/>
              <w:t xml:space="preserve"/>
            </w:r>
            <w:r>
              <w:rPr>
                <w:rFonts w:ascii="Calibri" w:eastAsia="Calibri" w:hAnsi="Calibri" w:cs="Calibri"/>
                <w:color w:val="FF0000"/>
                <w:sz w:val="22"/>
                <w:szCs w:val="22"/>
              </w:rPr>
              <w:tab/>
            </w:r>
            <w:r>
              <w:rPr>
                <w:rFonts w:ascii="Calibri" w:eastAsia="Calibri" w:hAnsi="Calibri" w:cs="Calibri"/>
                <w:color w:val="FF0000"/>
                <w:sz w:val="22"/>
                <w:szCs w:val="22"/>
              </w:rPr>
              <w:t xml:space="preserve">+ Utilização de materiais reciclados e reutilizados na fabricação dos produtos Xyz.</w:t>
              <w:br/>
              <w:t xml:space="preserve"/>
            </w:r>
            <w:r>
              <w:rPr>
                <w:rFonts w:ascii="Calibri" w:eastAsia="Calibri" w:hAnsi="Calibri" w:cs="Calibri"/>
                <w:color w:val="FF0000"/>
                <w:sz w:val="22"/>
                <w:szCs w:val="22"/>
              </w:rPr>
              <w:tab/>
            </w:r>
            <w:r>
              <w:rPr>
                <w:rFonts w:ascii="Calibri" w:eastAsia="Calibri" w:hAnsi="Calibri" w:cs="Calibri"/>
                <w:color w:val="FF0000"/>
                <w:sz w:val="22"/>
                <w:szCs w:val="22"/>
              </w:rPr>
              <w:t xml:space="preserve">+ Desenvolvimento de embalagens eco-amigáveis e redução do uso de materiais plásticos.</w:t>
              <w:br/>
              <w:t xml:space="preserve"/>
            </w:r>
            <w:r>
              <w:rPr>
                <w:rFonts w:ascii="Calibri" w:eastAsia="Calibri" w:hAnsi="Calibri" w:cs="Calibri"/>
                <w:color w:val="FF0000"/>
                <w:sz w:val="22"/>
                <w:szCs w:val="22"/>
              </w:rPr>
              <w:tab/>
            </w:r>
            <w:r>
              <w:rPr>
                <w:rFonts w:ascii="Calibri" w:eastAsia="Calibri" w:hAnsi="Calibri" w:cs="Calibri"/>
                <w:color w:val="FF0000"/>
                <w:sz w:val="22"/>
                <w:szCs w:val="22"/>
              </w:rPr>
              <w:t xml:space="preserve">+ Implementação de sistemas de gestão de energia eficientes nos processos produtivos.</w:t>
              <w:br/>
              <w:t xml:space="preserve">* **Logística reversa**:</w:t>
              <w:br/>
              <w:t xml:space="preserve"/>
            </w:r>
            <w:r>
              <w:rPr>
                <w:rFonts w:ascii="Calibri" w:eastAsia="Calibri" w:hAnsi="Calibri" w:cs="Calibri"/>
                <w:color w:val="FF0000"/>
                <w:sz w:val="22"/>
                <w:szCs w:val="22"/>
              </w:rPr>
              <w:tab/>
            </w:r>
            <w:r>
              <w:rPr>
                <w:rFonts w:ascii="Calibri" w:eastAsia="Calibri" w:hAnsi="Calibri" w:cs="Calibri"/>
                <w:color w:val="FF0000"/>
                <w:sz w:val="22"/>
                <w:szCs w:val="22"/>
              </w:rPr>
              <w:t xml:space="preserve">+ Estabelecimento de programas de reciclo e reutilização de resíduos sólidos gerados durante a produção e uso dos produtos Xyz.</w:t>
              <w:br/>
              <w:t xml:space="preserve"/>
            </w:r>
            <w:r>
              <w:rPr>
                <w:rFonts w:ascii="Calibri" w:eastAsia="Calibri" w:hAnsi="Calibri" w:cs="Calibri"/>
                <w:color w:val="FF0000"/>
                <w:sz w:val="22"/>
                <w:szCs w:val="22"/>
              </w:rPr>
              <w:tab/>
            </w:r>
            <w:r>
              <w:rPr>
                <w:rFonts w:ascii="Calibri" w:eastAsia="Calibri" w:hAnsi="Calibri" w:cs="Calibri"/>
                <w:color w:val="FF0000"/>
                <w:sz w:val="22"/>
                <w:szCs w:val="22"/>
              </w:rPr>
              <w:t xml:space="preserve">+ Implementação de rotas de entrega mais eficientes para reduzir o consumo de combustíveis fósseis.</w:t>
              <w:br/>
              <w:t xml:space="preserve"/>
            </w:r>
            <w:r>
              <w:rPr>
                <w:rFonts w:ascii="Calibri" w:eastAsia="Calibri" w:hAnsi="Calibri" w:cs="Calibri"/>
                <w:color w:val="FF0000"/>
                <w:sz w:val="22"/>
                <w:szCs w:val="22"/>
              </w:rPr>
              <w:tab/>
            </w:r>
            <w:r>
              <w:rPr>
                <w:rFonts w:ascii="Calibri" w:eastAsia="Calibri" w:hAnsi="Calibri" w:cs="Calibri"/>
                <w:color w:val="FF0000"/>
                <w:sz w:val="22"/>
                <w:szCs w:val="22"/>
              </w:rPr>
              <w:t xml:space="preserve">+ Desenvolvimento de parcerias com empresas de logística reversa para garantir a reciclagem e reutilização de materiais.</w:t>
              <w:br/>
              <w:t xml:space="preserve">* **Outras medidas mitigadoras**:</w:t>
              <w:br/>
              <w:t xml:space="preserve"/>
            </w:r>
            <w:r>
              <w:rPr>
                <w:rFonts w:ascii="Calibri" w:eastAsia="Calibri" w:hAnsi="Calibri" w:cs="Calibri"/>
                <w:color w:val="FF0000"/>
                <w:sz w:val="22"/>
                <w:szCs w:val="22"/>
              </w:rPr>
              <w:tab/>
            </w:r>
            <w:r>
              <w:rPr>
                <w:rFonts w:ascii="Calibri" w:eastAsia="Calibri" w:hAnsi="Calibri" w:cs="Calibri"/>
                <w:color w:val="FF0000"/>
                <w:sz w:val="22"/>
                <w:szCs w:val="22"/>
              </w:rPr>
              <w:t xml:space="preserve">+ Implementação de sistemas de gestão ambiental eficientes nos processos produtivos.</w:t>
              <w:br/>
              <w:t xml:space="preserve"/>
            </w:r>
            <w:r>
              <w:rPr>
                <w:rFonts w:ascii="Calibri" w:eastAsia="Calibri" w:hAnsi="Calibri" w:cs="Calibri"/>
                <w:color w:val="FF0000"/>
                <w:sz w:val="22"/>
                <w:szCs w:val="22"/>
              </w:rPr>
              <w:tab/>
            </w:r>
            <w:r>
              <w:rPr>
                <w:rFonts w:ascii="Calibri" w:eastAsia="Calibri" w:hAnsi="Calibri" w:cs="Calibri"/>
                <w:color w:val="FF0000"/>
                <w:sz w:val="22"/>
                <w:szCs w:val="22"/>
              </w:rPr>
              <w:t xml:space="preserve">+ Treinamento contínuo dos funcionários sobre as práticas ambientais sustentáveis.</w:t>
              <w:br/>
              <w:t xml:space="preserve"/>
            </w:r>
            <w:r>
              <w:rPr>
                <w:rFonts w:ascii="Calibri" w:eastAsia="Calibri" w:hAnsi="Calibri" w:cs="Calibri"/>
                <w:color w:val="FF0000"/>
                <w:sz w:val="22"/>
                <w:szCs w:val="22"/>
              </w:rPr>
              <w:tab/>
            </w:r>
            <w:r>
              <w:rPr>
                <w:rFonts w:ascii="Calibri" w:eastAsia="Calibri" w:hAnsi="Calibri" w:cs="Calibri"/>
                <w:color w:val="FF0000"/>
                <w:sz w:val="22"/>
                <w:szCs w:val="22"/>
              </w:rPr>
              <w:t xml:space="preserve">+ Monitoramento regular dos impactos ambientais e ajuste das estratégias para minimizar os efeitos negativos.</w:t>
              <w:br/>
              <w:t xml:space="preserve"/>
              <w:br/>
              <w:t xml:space="preserve">Além disso, vamos estabelecer parcerias com organizações ambientalistas e implementar programas de educação e conscientização para promover a sustentabilidade e reduzir o impacto ambiental da nossa atividade.</w:t>
            </w:r>
          </w:p>
        </w:tc>
      </w:tr>
      <w:tr w:rsidR="005D622A" w14:paraId="72715F84" w14:textId="77777777" w:rsidTr="00E40EE0">
        <w:trPr>
          <w:trHeight w:val="518"/>
        </w:trPr>
        <w:tc>
          <w:tcPr>
            <w:tcW w:w="9980" w:type="dxa"/>
            <w:gridSpan w:val="11"/>
            <w:tcMar>
              <w:top w:w="55" w:type="dxa"/>
              <w:left w:w="55" w:type="dxa"/>
              <w:bottom w:w="55" w:type="dxa"/>
              <w:right w:w="55" w:type="dxa"/>
            </w:tcMar>
          </w:tcPr>
          <w:p w14:paraId="677A17A9" w14:textId="77777777" w:rsidR="005D622A" w:rsidRDefault="00C55F56">
            <w:pPr>
              <w:numPr>
                <w:ilvl w:val="0"/>
                <w:numId w:val="1"/>
              </w:numPr>
              <w:pBdr>
                <w:top w:val="nil"/>
                <w:left w:val="nil"/>
                <w:bottom w:val="nil"/>
                <w:right w:val="nil"/>
                <w:between w:val="nil"/>
              </w:pBdr>
              <w:shd w:val="clear" w:color="auto" w:fill="D9D9D9"/>
              <w:tabs>
                <w:tab w:val="left" w:pos="438"/>
              </w:tabs>
              <w:ind w:left="0" w:right="57" w:firstLine="0"/>
              <w:jc w:val="both"/>
              <w:rPr>
                <w:rFonts w:ascii="Calibri" w:eastAsia="Calibri" w:hAnsi="Calibri" w:cs="Calibri"/>
                <w:sz w:val="22"/>
                <w:szCs w:val="22"/>
              </w:rPr>
            </w:pPr>
            <w:r>
              <w:rPr>
                <w:rFonts w:ascii="Calibri" w:eastAsia="Calibri" w:hAnsi="Calibri" w:cs="Calibri"/>
                <w:b/>
                <w:sz w:val="22"/>
                <w:szCs w:val="22"/>
              </w:rPr>
              <w:t xml:space="preserve">POSICIONAMENTO CONCLUSIVO SOBRE A ADEQUAÇÃO DA CONTRATAÇÃO PARA O ATENDIMENTO DA </w:t>
            </w:r>
            <w:r>
              <w:rPr>
                <w:rFonts w:ascii="Calibri" w:eastAsia="Calibri" w:hAnsi="Calibri" w:cs="Calibri"/>
                <w:b/>
                <w:sz w:val="22"/>
                <w:szCs w:val="22"/>
              </w:rPr>
              <w:lastRenderedPageBreak/>
              <w:t>NECESSIDADE A QUE SE DESTINA (art. 35, inciso XIII do D1525/2022)</w:t>
            </w:r>
          </w:p>
          <w:p w14:paraId="51EA8C34" w14:textId="77777777" w:rsidR="005D622A" w:rsidRDefault="00C55F56">
            <w:pPr>
              <w:numPr>
                <w:ilvl w:val="1"/>
                <w:numId w:val="1"/>
              </w:numPr>
              <w:pBdr>
                <w:top w:val="nil"/>
                <w:left w:val="nil"/>
                <w:bottom w:val="nil"/>
                <w:right w:val="nil"/>
                <w:between w:val="nil"/>
              </w:pBdr>
              <w:ind w:left="0" w:right="57" w:firstLine="0"/>
              <w:jc w:val="both"/>
            </w:pPr>
            <w:r>
              <w:rPr>
                <w:rFonts w:ascii="Calibri" w:eastAsia="Calibri" w:hAnsi="Calibri" w:cs="Calibri"/>
                <w:color w:val="FF0000"/>
                <w:sz w:val="22"/>
                <w:szCs w:val="22"/>
              </w:rPr>
              <w:t xml:space="preserve">Declaro esta contratação com base neste Estudo Técnico Preliminar, consoante ao Art. 18, inciso I, e §1º, incisos I a XIII, do mesmo artigo, da Lei Federal de Licitações nº 14.133, de 1º de abril de 2021. </w:t>
            </w:r>
          </w:p>
          <w:p w14:paraId="2E11909E" w14:textId="77777777" w:rsidR="005D622A" w:rsidRDefault="00C55F56">
            <w:pPr>
              <w:ind w:right="57"/>
              <w:jc w:val="both"/>
              <w:rPr>
                <w:rFonts w:ascii="Calibri" w:eastAsia="Calibri" w:hAnsi="Calibri" w:cs="Calibri"/>
                <w:sz w:val="22"/>
                <w:szCs w:val="22"/>
              </w:rPr>
            </w:pPr>
            <w:r>
              <w:rPr>
                <w:rFonts w:ascii="Calibri" w:eastAsia="Calibri" w:hAnsi="Calibri" w:cs="Calibri"/>
                <w:color w:val="FF0000"/>
                <w:sz w:val="22"/>
                <w:szCs w:val="22"/>
              </w:rPr>
              <w:t>(  ) É VIÁVEL a presente contratação.</w:t>
            </w:r>
          </w:p>
          <w:p w14:paraId="72E5BC30" w14:textId="77777777" w:rsidR="005D622A" w:rsidRDefault="00C55F56">
            <w:pPr>
              <w:ind w:right="57"/>
              <w:jc w:val="both"/>
              <w:rPr>
                <w:rFonts w:ascii="Calibri" w:eastAsia="Calibri" w:hAnsi="Calibri" w:cs="Calibri"/>
                <w:b/>
                <w:sz w:val="22"/>
                <w:szCs w:val="22"/>
              </w:rPr>
            </w:pPr>
            <w:r>
              <w:rPr>
                <w:rFonts w:ascii="Calibri" w:eastAsia="Calibri" w:hAnsi="Calibri" w:cs="Calibri"/>
                <w:color w:val="FF0000"/>
                <w:sz w:val="22"/>
                <w:szCs w:val="22"/>
              </w:rPr>
              <w:t>(  ) NÃO É VIÁVEL a presente contratação.</w:t>
            </w:r>
          </w:p>
        </w:tc>
      </w:tr>
      <w:tr w:rsidR="005D622A" w14:paraId="28097C5A" w14:textId="77777777" w:rsidTr="00E40EE0">
        <w:trPr>
          <w:trHeight w:val="518"/>
        </w:trPr>
        <w:tc>
          <w:tcPr>
            <w:tcW w:w="9980" w:type="dxa"/>
            <w:gridSpan w:val="11"/>
            <w:tcMar>
              <w:top w:w="55" w:type="dxa"/>
              <w:left w:w="55" w:type="dxa"/>
              <w:bottom w:w="55" w:type="dxa"/>
              <w:right w:w="55" w:type="dxa"/>
            </w:tcMar>
          </w:tcPr>
          <w:p w14:paraId="026A4251"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lastRenderedPageBreak/>
              <w:t>LEGISLAÇÃO/FONTES</w:t>
            </w:r>
          </w:p>
          <w:p w14:paraId="417EDE8A" w14:textId="77777777" w:rsidR="005D622A" w:rsidRDefault="00C55F56">
            <w:pPr>
              <w:numPr>
                <w:ilvl w:val="1"/>
                <w:numId w:val="1"/>
              </w:numPr>
              <w:ind w:left="0" w:right="57" w:firstLine="0"/>
              <w:jc w:val="both"/>
              <w:rPr>
                <w:sz w:val="22"/>
                <w:szCs w:val="22"/>
              </w:rPr>
            </w:pPr>
            <w:r>
              <w:rPr>
                <w:rFonts w:ascii="Calibri" w:eastAsia="Calibri" w:hAnsi="Calibri" w:cs="Calibri"/>
                <w:sz w:val="22"/>
                <w:szCs w:val="22"/>
              </w:rPr>
              <w:t>Lei Federal nº 14.133/2021 - Lei de Licitações e Contratos Administrativos;</w:t>
            </w:r>
          </w:p>
          <w:p w14:paraId="3B2C280E" w14:textId="77777777" w:rsidR="005D622A" w:rsidRDefault="00C55F56">
            <w:pPr>
              <w:numPr>
                <w:ilvl w:val="1"/>
                <w:numId w:val="1"/>
              </w:numPr>
              <w:ind w:left="0" w:right="57" w:firstLine="0"/>
              <w:jc w:val="both"/>
              <w:rPr>
                <w:sz w:val="22"/>
                <w:szCs w:val="22"/>
              </w:rPr>
            </w:pPr>
            <w:r>
              <w:rPr>
                <w:rFonts w:ascii="Calibri" w:eastAsia="Calibri" w:hAnsi="Calibri" w:cs="Calibri"/>
                <w:sz w:val="22"/>
                <w:szCs w:val="22"/>
              </w:rPr>
              <w:t>Decreto Estadual nº 1.525/2022 - Regulamenta a Lei Federal nº 14.133/2021.</w:t>
            </w:r>
          </w:p>
        </w:tc>
      </w:tr>
      <w:tr w:rsidR="005D622A" w14:paraId="244BDC54" w14:textId="77777777" w:rsidTr="00E40EE0">
        <w:trPr>
          <w:trHeight w:val="518"/>
        </w:trPr>
        <w:tc>
          <w:tcPr>
            <w:tcW w:w="9980" w:type="dxa"/>
            <w:gridSpan w:val="11"/>
            <w:tcMar>
              <w:top w:w="55" w:type="dxa"/>
              <w:left w:w="55" w:type="dxa"/>
              <w:bottom w:w="55" w:type="dxa"/>
              <w:right w:w="55" w:type="dxa"/>
            </w:tcMar>
          </w:tcPr>
          <w:p w14:paraId="0EF44551" w14:textId="77777777" w:rsidR="005D622A" w:rsidRDefault="00C55F56">
            <w:pPr>
              <w:numPr>
                <w:ilvl w:val="0"/>
                <w:numId w:val="1"/>
              </w:numPr>
              <w:shd w:val="clear" w:color="auto" w:fill="D9D9D9"/>
              <w:tabs>
                <w:tab w:val="left" w:pos="438"/>
              </w:tabs>
              <w:ind w:left="0" w:right="57" w:firstLine="0"/>
              <w:jc w:val="both"/>
              <w:rPr>
                <w:rFonts w:ascii="Calibri" w:eastAsia="Calibri" w:hAnsi="Calibri" w:cs="Calibri"/>
                <w:b/>
                <w:sz w:val="22"/>
                <w:szCs w:val="22"/>
              </w:rPr>
            </w:pPr>
            <w:r>
              <w:rPr>
                <w:rFonts w:ascii="Calibri" w:eastAsia="Calibri" w:hAnsi="Calibri" w:cs="Calibri"/>
                <w:b/>
                <w:sz w:val="22"/>
                <w:szCs w:val="22"/>
              </w:rPr>
              <w:t xml:space="preserve">RESPONSÁVEL PELA ELABORAÇÃO/DATA DE TÉRMINO</w:t>
            </w:r>
          </w:p>
          <w:p w14:paraId="4C13E5E1" w14:textId="77777777" w:rsidR="005D622A" w:rsidRDefault="005D622A">
            <w:pPr>
              <w:ind w:right="57"/>
              <w:jc w:val="both"/>
              <w:rPr>
                <w:rFonts w:ascii="Calibri" w:eastAsia="Calibri" w:hAnsi="Calibri" w:cs="Calibri"/>
                <w:b/>
                <w:sz w:val="22"/>
                <w:szCs w:val="22"/>
              </w:rPr>
            </w:pPr>
          </w:p>
          <w:p w14:paraId="3266BE15" w14:textId="4B387C9D" w:rsidR="005D622A" w:rsidRDefault="00C55F56">
            <w:pPr>
              <w:ind w:right="57"/>
              <w:jc w:val="right"/>
              <w:rPr>
                <w:rFonts w:ascii="Calibri" w:eastAsia="Calibri" w:hAnsi="Calibri" w:cs="Calibri"/>
                <w:sz w:val="22"/>
                <w:szCs w:val="22"/>
              </w:rPr>
            </w:pPr>
            <w:r>
              <w:rPr>
                <w:rFonts w:ascii="Calibri" w:eastAsia="Calibri" w:hAnsi="Calibri" w:cs="Calibri"/>
                <w:sz w:val="22"/>
                <w:szCs w:val="22"/>
              </w:rPr>
              <w:t xml:space="preserve">Cuiabá-MT, </w:t>
            </w:r>
            <w:r w:rsidR="00875DE7" w:rsidRPr="00875DE7">
              <w:rPr>
                <w:rFonts w:ascii="Calibri" w:eastAsia="Calibri" w:hAnsi="Calibri" w:cs="Calibri"/>
                <w:color w:val="EE0000"/>
                <w:sz w:val="22"/>
                <w:szCs w:val="22"/>
              </w:rPr>
              <w:t xml:space="preserve">09 de September de 2025</w:t>
            </w:r>
            <w:r w:rsidRPr="00875DE7">
              <w:rPr>
                <w:rFonts w:ascii="Calibri" w:eastAsia="Calibri" w:hAnsi="Calibri" w:cs="Calibri"/>
                <w:sz w:val="22"/>
                <w:szCs w:val="22"/>
              </w:rPr>
              <w:t>.</w:t>
            </w:r>
          </w:p>
          <w:p w14:paraId="2A970133" w14:textId="477D8D06" w:rsidR="005D622A" w:rsidRDefault="00C55F56">
            <w:pPr>
              <w:ind w:right="57"/>
              <w:rPr>
                <w:rFonts w:ascii="Calibri" w:eastAsia="Calibri" w:hAnsi="Calibri" w:cs="Calibri"/>
                <w:b/>
                <w:sz w:val="22"/>
                <w:szCs w:val="22"/>
                <w:highlight w:val="yellow"/>
              </w:rPr>
            </w:pPr>
            <w:r>
              <w:rPr>
                <w:rFonts w:ascii="Calibri" w:eastAsia="Calibri" w:hAnsi="Calibri" w:cs="Calibri"/>
                <w:sz w:val="22"/>
                <w:szCs w:val="22"/>
              </w:rPr>
              <w:t xml:space="preserve">Elaborado por:</w:t>
            </w:r>
            <w:r>
              <w:rPr>
                <w:rFonts w:ascii="Calibri" w:eastAsia="Calibri" w:hAnsi="Calibri" w:cs="Calibri"/>
                <w:b/>
                <w:sz w:val="22"/>
                <w:szCs w:val="22"/>
              </w:rPr>
              <w:t xml:space="preserve"> </w:t>
            </w:r>
            <w:r w:rsidR="00875DE7" w:rsidRPr="00875DE7">
              <w:rPr>
                <w:rFonts w:ascii="Calibri" w:eastAsia="Calibri" w:hAnsi="Calibri" w:cs="Calibri"/>
                <w:b/>
                <w:color w:val="EE0000"/>
                <w:sz w:val="22"/>
                <w:szCs w:val="22"/>
              </w:rPr>
              <w:t xml:space="preserve">XXXXXXXXX</w:t>
            </w:r>
          </w:p>
          <w:p w14:paraId="7E15C5A2" w14:textId="0E296D88" w:rsidR="005D622A" w:rsidRDefault="00C55F56">
            <w:pPr>
              <w:ind w:right="57"/>
              <w:rPr>
                <w:rFonts w:ascii="Calibri" w:eastAsia="Calibri" w:hAnsi="Calibri" w:cs="Calibri"/>
                <w:b/>
                <w:sz w:val="22"/>
                <w:szCs w:val="22"/>
                <w:highlight w:val="yellow"/>
              </w:rPr>
            </w:pPr>
            <w:bookmarkStart w:id="0" w:name="_heading=h.gjdgxs" w:colFirst="0" w:colLast="0"/>
            <w:bookmarkEnd w:id="0"/>
            <w:r>
              <w:rPr>
                <w:rFonts w:ascii="Calibri" w:eastAsia="Calibri" w:hAnsi="Calibri" w:cs="Calibri"/>
                <w:sz w:val="22"/>
                <w:szCs w:val="22"/>
              </w:rPr>
              <w:t xml:space="preserve">Matrícula: </w:t>
            </w:r>
            <w:r w:rsidR="00875DE7" w:rsidRPr="00875DE7">
              <w:rPr>
                <w:rFonts w:ascii="Calibri" w:eastAsia="Calibri" w:hAnsi="Calibri" w:cs="Calibri"/>
                <w:color w:val="EE0000"/>
                <w:sz w:val="22"/>
                <w:szCs w:val="22"/>
              </w:rPr>
              <w:t xml:space="preserve">XXXXXX</w:t>
            </w:r>
          </w:p>
        </w:tc>
      </w:tr>
    </w:tbl>
    <w:p w14:paraId="0D503B64" w14:textId="77777777" w:rsidR="005D622A" w:rsidRDefault="005D622A">
      <w:pPr>
        <w:rPr>
          <w:rFonts w:ascii="Calibri" w:eastAsia="Calibri" w:hAnsi="Calibri" w:cs="Calibri"/>
          <w:color w:val="000000"/>
          <w:sz w:val="22"/>
          <w:szCs w:val="22"/>
        </w:rPr>
      </w:pPr>
    </w:p>
    <w:sectPr w:rsidR="005D622A">
      <w:pgSz w:w="11906" w:h="16838"/>
      <w:pgMar w:top="1133" w:right="1134" w:bottom="794" w:left="1134" w:header="284"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4C3D9B"/>
    <w:multiLevelType w:val="multilevel"/>
    <w:tmpl w:val="3F5E4AD2"/>
    <w:lvl w:ilvl="0">
      <w:start w:val="1"/>
      <w:numFmt w:val="decimal"/>
      <w:lvlText w:val="%1."/>
      <w:lvlJc w:val="left"/>
      <w:pPr>
        <w:ind w:left="360" w:hanging="360"/>
      </w:pPr>
      <w:rPr>
        <w:b/>
      </w:rPr>
    </w:lvl>
    <w:lvl w:ilvl="1">
      <w:start w:val="1"/>
      <w:numFmt w:val="decimal"/>
      <w:lvlText w:val="%1.%2."/>
      <w:lvlJc w:val="left"/>
      <w:pPr>
        <w:ind w:left="360" w:hanging="360"/>
      </w:pPr>
      <w:rPr>
        <w:rFonts w:ascii="Calibri" w:eastAsia="Calibri" w:hAnsi="Calibri" w:cs="Calibri"/>
        <w:b w:val="0"/>
        <w:sz w:val="22"/>
        <w:szCs w:val="22"/>
      </w:rPr>
    </w:lvl>
    <w:lvl w:ilvl="2">
      <w:start w:val="1"/>
      <w:numFmt w:val="decimal"/>
      <w:lvlText w:val="%1.%2.%3."/>
      <w:lvlJc w:val="left"/>
      <w:pPr>
        <w:ind w:left="720" w:hanging="720"/>
      </w:pPr>
      <w:rPr>
        <w:rFonts w:ascii="Calibri" w:eastAsia="Calibri" w:hAnsi="Calibri" w:cs="Calibri"/>
        <w:b w:val="0"/>
        <w:sz w:val="22"/>
        <w:szCs w:val="22"/>
      </w:rPr>
    </w:lvl>
    <w:lvl w:ilvl="3">
      <w:start w:val="1"/>
      <w:numFmt w:val="decimal"/>
      <w:lvlText w:val="%1.%2.%3.%4."/>
      <w:lvlJc w:val="left"/>
      <w:pPr>
        <w:ind w:left="720" w:hanging="720"/>
      </w:pPr>
      <w:rPr>
        <w:b w:val="0"/>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76B259BC"/>
    <w:multiLevelType w:val="multilevel"/>
    <w:tmpl w:val="8AEC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776888">
    <w:abstractNumId w:val="0"/>
  </w:num>
  <w:num w:numId="2" w16cid:durableId="642664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22A"/>
    <w:rsid w:val="000570FE"/>
    <w:rsid w:val="000F1E0A"/>
    <w:rsid w:val="00202859"/>
    <w:rsid w:val="0033074C"/>
    <w:rsid w:val="00410C8F"/>
    <w:rsid w:val="00484B7F"/>
    <w:rsid w:val="005D622A"/>
    <w:rsid w:val="00852446"/>
    <w:rsid w:val="00875DE7"/>
    <w:rsid w:val="008B167B"/>
    <w:rsid w:val="00954935"/>
    <w:rsid w:val="00992870"/>
    <w:rsid w:val="00AA2652"/>
    <w:rsid w:val="00B67DF2"/>
    <w:rsid w:val="00C55F56"/>
    <w:rsid w:val="00CB659F"/>
    <w:rsid w:val="00CF0F62"/>
    <w:rsid w:val="00E40EE0"/>
    <w:rsid w:val="00F13229"/>
    <w:rsid w:val="00F6348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627A2"/>
  <w15:docId w15:val="{BEEA5109-722B-4776-A318-C8925DA16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spacing w:before="240" w:after="120"/>
      <w:ind w:left="432" w:hanging="432"/>
      <w:outlineLvl w:val="0"/>
    </w:pPr>
    <w:rPr>
      <w:rFonts w:ascii="Arial" w:eastAsia="Arial" w:hAnsi="Arial" w:cs="Arial"/>
      <w:b/>
      <w:sz w:val="36"/>
      <w:szCs w:val="36"/>
    </w:rPr>
  </w:style>
  <w:style w:type="paragraph" w:styleId="Ttulo2">
    <w:name w:val="heading 2"/>
    <w:basedOn w:val="Normal"/>
    <w:next w:val="Normal"/>
    <w:pPr>
      <w:keepNext/>
      <w:spacing w:before="200" w:after="120"/>
      <w:ind w:left="576" w:hanging="576"/>
      <w:outlineLvl w:val="1"/>
    </w:pPr>
    <w:rPr>
      <w:rFonts w:ascii="Arial" w:eastAsia="Arial" w:hAnsi="Arial" w:cs="Arial"/>
      <w:b/>
      <w:sz w:val="32"/>
      <w:szCs w:val="32"/>
    </w:rPr>
  </w:style>
  <w:style w:type="paragraph" w:styleId="Ttulo3">
    <w:name w:val="heading 3"/>
    <w:basedOn w:val="Normal"/>
    <w:next w:val="Normal"/>
    <w:pPr>
      <w:keepNext/>
      <w:spacing w:before="140" w:after="120"/>
      <w:ind w:left="720" w:hanging="720"/>
      <w:outlineLvl w:val="2"/>
    </w:pPr>
    <w:rPr>
      <w:rFonts w:ascii="Arial" w:eastAsia="Arial" w:hAnsi="Arial" w:cs="Arial"/>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spacing w:before="240" w:after="120"/>
      <w:jc w:val="center"/>
    </w:pPr>
    <w:rPr>
      <w:rFonts w:ascii="Arial" w:eastAsia="Arial" w:hAnsi="Arial" w:cs="Arial"/>
      <w:b/>
      <w:sz w:val="56"/>
      <w:szCs w:val="56"/>
    </w:rPr>
  </w:style>
  <w:style w:type="paragraph" w:styleId="Subttulo">
    <w:name w:val="Subtitle"/>
    <w:basedOn w:val="Normal"/>
    <w:next w:val="Normal"/>
    <w:pPr>
      <w:keepNext/>
      <w:spacing w:before="60" w:after="120"/>
      <w:jc w:val="center"/>
    </w:pPr>
    <w:rPr>
      <w:rFonts w:ascii="Arial" w:eastAsia="Arial" w:hAnsi="Arial" w:cs="Arial"/>
      <w:sz w:val="36"/>
      <w:szCs w:val="36"/>
    </w:rPr>
  </w:style>
  <w:style w:type="table" w:customStyle="1" w:styleId="a">
    <w:basedOn w:val="TableNormal"/>
    <w:tblPr>
      <w:tblStyleRowBandSize w:val="1"/>
      <w:tblStyleColBandSize w:val="1"/>
      <w:tblCellMar>
        <w:left w:w="70" w:type="dxa"/>
        <w:right w:w="70" w:type="dxa"/>
      </w:tblCellMar>
    </w:tblPr>
  </w:style>
  <w:style w:type="paragraph" w:styleId="Pr-formataoHTML">
    <w:name w:val="HTML Preformatted"/>
    <w:basedOn w:val="Normal"/>
    <w:link w:val="Pr-formataoHTMLChar"/>
    <w:uiPriority w:val="99"/>
    <w:semiHidden/>
    <w:unhideWhenUsed/>
    <w:rsid w:val="00AA26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sid w:val="00AA2652"/>
    <w:rPr>
      <w:rFonts w:ascii="Courier New" w:hAnsi="Courier New" w:cs="Courier New"/>
      <w:sz w:val="20"/>
      <w:szCs w:val="20"/>
    </w:rPr>
  </w:style>
  <w:style w:type="character" w:styleId="CdigoHTML">
    <w:name w:val="HTML Code"/>
    <w:basedOn w:val="Fontepargpadro"/>
    <w:uiPriority w:val="99"/>
    <w:semiHidden/>
    <w:unhideWhenUsed/>
    <w:rsid w:val="00AA265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687658">
      <w:marLeft w:val="0"/>
      <w:marRight w:val="0"/>
      <w:marTop w:val="0"/>
      <w:marBottom w:val="0"/>
      <w:divBdr>
        <w:top w:val="none" w:sz="0" w:space="0" w:color="auto"/>
        <w:left w:val="none" w:sz="0" w:space="0" w:color="auto"/>
        <w:bottom w:val="none" w:sz="0" w:space="0" w:color="auto"/>
        <w:right w:val="none" w:sz="0" w:space="0" w:color="auto"/>
      </w:divBdr>
      <w:divsChild>
        <w:div w:id="869999635">
          <w:marLeft w:val="0"/>
          <w:marRight w:val="0"/>
          <w:marTop w:val="0"/>
          <w:marBottom w:val="0"/>
          <w:divBdr>
            <w:top w:val="none" w:sz="0" w:space="0" w:color="auto"/>
            <w:left w:val="none" w:sz="0" w:space="0" w:color="auto"/>
            <w:bottom w:val="none" w:sz="0" w:space="0" w:color="auto"/>
            <w:right w:val="none" w:sz="0" w:space="0" w:color="auto"/>
          </w:divBdr>
          <w:divsChild>
            <w:div w:id="175571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0XuorL4vK/nFdcHZoqZ5QIfe5g==">CgMxLjAyCGguZ2pkZ3hzOAByITFVUEd0MWxuUUwxQzFCNm1wbU9JdU9qcU9FZjNzTnRmdw==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3</Pages>
  <Words>970</Words>
  <Characters>5244</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Anderson Freitas de Magalhaes</dc:creator>
  <cp:lastModifiedBy>Pedro Henrique Simoes da Silva</cp:lastModifiedBy>
  <cp:revision>12</cp:revision>
  <dcterms:created xsi:type="dcterms:W3CDTF">2025-06-09T18:54:00Z</dcterms:created>
  <dcterms:modified xsi:type="dcterms:W3CDTF">2025-09-09T13:15:00Z</dcterms:modified>
  <dc:description/>
  <dc:identifier/>
  <dc:language/>
  <dc:subject/>
  <dc:title/>
</cp:coreProperties>
</file>