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485D8A" w14:textId="77777777" w:rsidR="005D622A" w:rsidRDefault="005D62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98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4"/>
        <w:gridCol w:w="1426"/>
        <w:gridCol w:w="1279"/>
        <w:gridCol w:w="147"/>
        <w:gridCol w:w="753"/>
        <w:gridCol w:w="673"/>
        <w:gridCol w:w="744"/>
        <w:gridCol w:w="682"/>
        <w:gridCol w:w="1288"/>
        <w:gridCol w:w="138"/>
        <w:gridCol w:w="1426"/>
      </w:tblGrid>
      <w:tr w:rsidR="005D622A" w14:paraId="388ECF8F" w14:textId="77777777" w:rsidTr="00E40EE0">
        <w:trPr>
          <w:trHeight w:val="325"/>
        </w:trPr>
        <w:tc>
          <w:tcPr>
            <w:tcW w:w="9980" w:type="dxa"/>
            <w:gridSpan w:val="11"/>
            <w:vAlign w:val="center"/>
          </w:tcPr>
          <w:p w14:paraId="7C392D61" w14:textId="78582223" w:rsidR="005D622A" w:rsidRPr="00E40EE0" w:rsidRDefault="00C55F56" w:rsidP="00E40EE0">
            <w:pPr>
              <w:spacing w:before="120" w:after="120"/>
              <w:jc w:val="center"/>
              <w:rPr>
                <w:rFonts w:ascii="Calibri" w:eastAsia="Calibri" w:hAnsi="Calibri" w:cs="Calibri"/>
                <w:sz w:val="32"/>
                <w:szCs w:val="32"/>
                <w:highlight w:val="yellow"/>
              </w:rPr>
            </w:pPr>
            <w:r w:rsidRPr="00E40EE0"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ESTUDO TÉCNICO PRELIMINAR Nº </w:t>
            </w:r>
            <w:proofErr w:type="gramStart"/>
            <w:r w:rsidR="0033074C" w:rsidRPr="0033074C">
              <w:rPr>
                <w:rFonts w:ascii="Calibri" w:eastAsia="Calibri" w:hAnsi="Calibri" w:cs="Calibri"/>
                <w:b/>
                <w:color w:val="EE0000"/>
                <w:sz w:val="32"/>
                <w:szCs w:val="32"/>
              </w:rPr>
              <w:t xml:space="preserve">003/2025</w:t>
            </w:r>
          </w:p>
        </w:tc>
      </w:tr>
      <w:tr w:rsidR="005D622A" w14:paraId="65AEF32A" w14:textId="77777777" w:rsidTr="00E40EE0">
        <w:trPr>
          <w:trHeight w:val="54"/>
        </w:trPr>
        <w:tc>
          <w:tcPr>
            <w:tcW w:w="9980" w:type="dxa"/>
            <w:gridSpan w:val="11"/>
          </w:tcPr>
          <w:p w14:paraId="59BD7B63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ÁREA REQUISITANTE</w:t>
            </w:r>
          </w:p>
          <w:p w14:paraId="302A669A" w14:textId="680B9B41" w:rsidR="00E40EE0" w:rsidRDefault="0033074C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COORDENADORIA DE TECNOLOGIA DA INFORMAÇÃO</w:t>
            </w:r>
          </w:p>
        </w:tc>
      </w:tr>
      <w:tr w:rsidR="005D622A" w14:paraId="7EB02734" w14:textId="77777777" w:rsidTr="00E40EE0">
        <w:trPr>
          <w:trHeight w:val="54"/>
        </w:trPr>
        <w:tc>
          <w:tcPr>
            <w:tcW w:w="5029" w:type="dxa"/>
            <w:gridSpan w:val="5"/>
            <w:shd w:val="clear" w:color="auto" w:fill="BFBFBF"/>
          </w:tcPr>
          <w:p w14:paraId="03B38E91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 REQUISITANTE</w:t>
            </w:r>
          </w:p>
        </w:tc>
        <w:tc>
          <w:tcPr>
            <w:tcW w:w="4951" w:type="dxa"/>
            <w:gridSpan w:val="6"/>
            <w:shd w:val="clear" w:color="auto" w:fill="BFBFBF"/>
          </w:tcPr>
          <w:p w14:paraId="1A71114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RESPONSÁVEL</w:t>
            </w:r>
          </w:p>
        </w:tc>
      </w:tr>
      <w:tr w:rsidR="005D622A" w14:paraId="0E732DBE" w14:textId="77777777" w:rsidTr="00E40EE0">
        <w:trPr>
          <w:trHeight w:val="54"/>
        </w:trPr>
        <w:tc>
          <w:tcPr>
            <w:tcW w:w="5029" w:type="dxa"/>
            <w:gridSpan w:val="5"/>
          </w:tcPr>
          <w:p w14:paraId="26F09BD9" w14:textId="546AADA4" w:rsidR="00E40EE0" w:rsidRDefault="0033074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COORDENADORIA DE TECNOLOGIA DA INFORMAÇÃO</w:t>
            </w:r>
          </w:p>
        </w:tc>
        <w:tc>
          <w:tcPr>
            <w:tcW w:w="4951" w:type="dxa"/>
            <w:gridSpan w:val="6"/>
          </w:tcPr>
          <w:p w14:paraId="77979D1C" w14:textId="2E99C59B" w:rsidR="005D622A" w:rsidRDefault="0033074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Danilo Vieira da Cruz</w:t>
            </w:r>
          </w:p>
        </w:tc>
      </w:tr>
      <w:tr w:rsidR="005D622A" w14:paraId="46A67C6E" w14:textId="77777777" w:rsidTr="00E40EE0">
        <w:tc>
          <w:tcPr>
            <w:tcW w:w="9980" w:type="dxa"/>
            <w:gridSpan w:val="11"/>
          </w:tcPr>
          <w:p w14:paraId="73AE7B28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INTRODUÇÃO</w:t>
            </w:r>
          </w:p>
          <w:p w14:paraId="07B7A306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570FE">
              <w:rPr>
                <w:rFonts w:ascii="Calibri" w:eastAsia="Calibri" w:hAnsi="Calibri" w:cs="Calibri"/>
                <w:sz w:val="22"/>
                <w:szCs w:val="22"/>
              </w:rPr>
              <w:t>O Estudo Técnico Preliminar (ETP) dará início a fase preparatória para a contratação de empresa para aquisição de materiais de consumo (itens</w:t>
            </w:r>
            <w:r w:rsidR="000570FE">
              <w:rPr>
                <w:rFonts w:ascii="Calibri" w:eastAsia="Calibri" w:hAnsi="Calibri" w:cs="Calibri"/>
                <w:sz w:val="22"/>
                <w:szCs w:val="22"/>
              </w:rPr>
              <w:t xml:space="preserve"> de informática</w:t>
            </w:r>
            <w:r w:rsidRPr="000570FE">
              <w:rPr>
                <w:rFonts w:ascii="Calibri" w:eastAsia="Calibri" w:hAnsi="Calibri" w:cs="Calibri"/>
                <w:sz w:val="22"/>
                <w:szCs w:val="22"/>
              </w:rPr>
              <w:t xml:space="preserve">)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para atender às demandas do Departamento Estadual de Trânsito de Mato Grosso;</w:t>
            </w:r>
          </w:p>
          <w:p w14:paraId="2AF5C977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Compreende-se que este documento constituirá a primeira fase do planejamento da contratação, que retratará o interesse público envolvido e a sua melhor solução, servirá de base para o anteprojeto, termo de referência ou ao projeto básico a serem elaborados caso se reconheça pela viabilidade da contratação;</w:t>
            </w:r>
          </w:p>
          <w:p w14:paraId="323E9B1F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Evidenciará o problema a ser resolvido e a sua melhor solução, de modo a permitir a avaliação da viabilidade técnica e econômica da contração;</w:t>
            </w:r>
          </w:p>
          <w:p w14:paraId="26D1B347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 Estudo que antecede a aquisição pretendida, em sua fase preparatória, estará pautado nas deliberações legais regulatórias, em âmbito Nacional e Estadual, inclusive no que diz respeito a Lei Federal de Licitações e Contratos Administrativos nº 14.133, de 1º de abril de 2021. No artigo 18, §2º, desta Lei, diz: “o estudo técnico preliminar deverá conter ao menos os elementos previstos nos incisos I, IV, VI, VIII e XIII do §1º deste artigo e, quando não contemplar os demais elementos previstos no referido parágrafo, apresentar as devidas justificativas;</w:t>
            </w:r>
          </w:p>
          <w:p w14:paraId="55D77B6A" w14:textId="77777777" w:rsidR="005D622A" w:rsidRDefault="00C55F56" w:rsidP="000570FE">
            <w:pPr>
              <w:numPr>
                <w:ilvl w:val="1"/>
                <w:numId w:val="1"/>
              </w:numPr>
              <w:spacing w:after="120"/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âmbito estadual, a Nova Lei de Licitações e Contratos é regulamentada pelo Decreto Estadual nº 1.525/2022;</w:t>
            </w:r>
          </w:p>
        </w:tc>
      </w:tr>
      <w:tr w:rsidR="005D622A" w14:paraId="751AB2F5" w14:textId="77777777" w:rsidTr="00E40EE0">
        <w:tc>
          <w:tcPr>
            <w:tcW w:w="9980" w:type="dxa"/>
            <w:gridSpan w:val="11"/>
          </w:tcPr>
          <w:p w14:paraId="7C006984" w14:textId="77777777" w:rsidR="005D622A" w:rsidRDefault="00C55F56" w:rsidP="00AA2652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DESCRIÇÃO DA NECESSIDADE DA CONTRATAÇÃO, CONSIDERANDO O PROBLEMA A SER RESOLVIDO SOB A PERSPECTIVA DO INTERESSE PÚBLICO (art. 35, inciso I do D1525/2022)</w:t>
            </w:r>
          </w:p>
          <w:p w14:paraId="3740E723" w14:textId="77777777" w:rsidR="005D622A" w:rsidRPr="00AA2652" w:rsidRDefault="00AA2652" w:rsidP="00AA2652">
            <w:pPr>
              <w:widowControl/>
              <w:spacing w:before="100" w:beforeAutospacing="1" w:after="100" w:afterAutospacing="1"/>
              <w:rPr>
                <w:rFonts w:ascii="Courier New" w:hAnsi="Courier New" w:cs="Courier New"/>
                <w:color w:val="EE0000"/>
                <w:sz w:val="20"/>
                <w:szCs w:val="20"/>
              </w:rPr>
            </w:pPr>
            <w:proofErr w:type="gramStart"/>
            <w:r w:rsidRPr="00AA2652">
              <w:rPr>
                <w:rFonts w:ascii="Courier New" w:hAnsi="Courier New" w:cs="Courier New"/>
                <w:color w:val="EE0000"/>
                <w:sz w:val="20"/>
                <w:szCs w:val="20"/>
              </w:rPr>
              <w:t xml:space="preserve">**Descrição da Necessidade da Contratação**</w:t>
              <w:br/>
              <w:t xml:space="preserve"/>
              <w:br/>
              <w:t xml:space="preserve">A presente contratação tem como objetivo aquisição de materiais de consumo (itens de informática) para atender às demandas do Departamento Estadual de Trânsito de Mato Grosso. A necessidade da contratação surge da crescente demanda por tecnologia e recursos informáticos no âmbito do departamento, que é responsável pela gestão e fiscalização do trânsito no estado.</w:t>
              <w:br/>
              <w:t xml:space="preserve"/>
              <w:br/>
              <w:t xml:space="preserve">A falta de materiais de consumo adequados e atualizados compromete a eficiência e eficácia das atividades desenvolvidas pelo Departamento Estadual de Trânsito, afetando negativamente a qualidade dos serviços prestados à população. Além disso, a ausência de recursos informáticos modernos e seguros compromete a integridade e confidencialidade dos dados pessoais e financeiros manipulados pelo departamento.</w:t>
              <w:br/>
              <w:t xml:space="preserve"/>
              <w:br/>
              <w:t xml:space="preserve">A contratação da presente aquisição visa atender às seguintes necessidades:</w:t>
              <w:br/>
              <w:t xml:space="preserve"/>
              <w:br/>
              <w:t xml:space="preserve">* Atualizar os sistemas de informação e comunicação do Departamento Estadual de Trânsito, garantindo a segurança e confidencialidade dos dados;</w:t>
              <w:br/>
              <w:t xml:space="preserve">* Fornecer recursos informáticos modernos e adequados para o funcionamento das atividades diárias do departamento;</w:t>
              <w:br/>
              <w:t xml:space="preserve">* Melhorar a eficiência e eficácia nas operações do Departamento Estadual de Trânsito, reduzindo tempos de processamento e aumentando a produtividade;</w:t>
              <w:br/>
              <w:t xml:space="preserve">* Garantir a integridade e confidencialidade dos dados pessoais e financeiros manipulados pelo departamento.</w:t>
              <w:br/>
              <w:t xml:space="preserve"/>
              <w:br/>
              <w:t xml:space="preserve">A contratação da presente aquisição é fundamental para o Departamento Estadual de Trânsito, pois atende às necessidades específicas do setor e contribui para a melhoria da qualidade dos serviços prestados à população. Além disso, a contratação visa promover a eficiência e eficácia na gestão pública, reduzindo custos e melhorando a relação entre o Estado e os cidadãos.</w:t>
              <w:br/>
              <w:t xml:space="preserve"/>
              <w:br/>
              <w:t xml:space="preserve">Em resumo, a presente contratação é necessária para atender às demandas do Departamento Estadual de Trânsito de Mato Grosso, garantir a segurança e confidencialidade dos dados, melhorar a eficiência e eficácia nas operações e promover a melhoria da qualidade dos serviços prestados à população.</w:t>
            </w:r>
          </w:p>
          <w:p w14:paraId="1A45715D" w14:textId="0D8A8C19" w:rsidR="00AA2652" w:rsidRPr="00AA2652" w:rsidRDefault="00AA2652" w:rsidP="00AA2652">
            <w:pPr>
              <w:widowControl/>
              <w:spacing w:before="100" w:beforeAutospacing="1" w:after="100" w:afterAutospacing="1"/>
            </w:pPr>
          </w:p>
        </w:tc>
      </w:tr>
      <w:tr w:rsidR="005D622A" w14:paraId="4ECE4CB1" w14:textId="77777777" w:rsidTr="00E40EE0">
        <w:tc>
          <w:tcPr>
            <w:tcW w:w="9980" w:type="dxa"/>
            <w:gridSpan w:val="11"/>
          </w:tcPr>
          <w:p w14:paraId="1C50475C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DEMONSTRAÇÃO DA PREVISÃO DA CONTRATAÇÃO NO PLANO DE CONTRATAÇÕES ANUAL, SEMPRE QUE ELABORADO, OU DESDE QUE JUSTIFICADA A IMPOSSIBILIDADE, DE MODO A INDICAR O SEU ALINHAMENTO COM OS INSTRUMENTOS DE PLANEJAMENTO DO ÓRGÃO OU ENTIDADE (art. 35, inciso II do D1525/2022)</w:t>
            </w:r>
          </w:p>
        </w:tc>
      </w:tr>
      <w:tr w:rsidR="005D622A" w14:paraId="35144777" w14:textId="77777777" w:rsidTr="00E40EE0">
        <w:trPr>
          <w:trHeight w:val="217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10BF3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Demonstração da previsão da contratação no plano de contrações anual, sempre que elaborado, de modo a indicar o seu alinhamento com o planejamento da Administração.</w:t>
            </w:r>
          </w:p>
        </w:tc>
      </w:tr>
      <w:tr w:rsidR="005D622A" w14:paraId="05F7485B" w14:textId="77777777" w:rsidTr="00AA2652">
        <w:trPr>
          <w:trHeight w:val="122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66011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Sub ação: 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06317" w14:textId="4C8A753A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20"/>
                <w:szCs w:val="20"/>
              </w:rPr>
              <w:t xml:space="preserve">112</w:t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626F3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Etapa: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0F797" w14:textId="7CC821AD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20"/>
                <w:szCs w:val="20"/>
              </w:rPr>
              <w:t xml:space="preserve">112</w:t>
            </w:r>
          </w:p>
        </w:tc>
      </w:tr>
      <w:tr w:rsidR="005D622A" w14:paraId="67A74A47" w14:textId="77777777" w:rsidTr="00AA2652">
        <w:trPr>
          <w:trHeight w:val="43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F7F21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Natureza da Despesa: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D1E68" w14:textId="16CD90BA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112</w:t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45AB7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Fonte: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8FDA4" w14:textId="744FD10E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112</w:t>
            </w:r>
          </w:p>
        </w:tc>
      </w:tr>
      <w:tr w:rsidR="00202859" w14:paraId="000DD197" w14:textId="77777777" w:rsidTr="00AA2652">
        <w:trPr>
          <w:trHeight w:val="43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0D93D" w14:textId="2921670A" w:rsidR="00202859" w:rsidRDefault="00202859" w:rsidP="00410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Projeto/Atividade: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AB21B" w14:textId="1F44B005" w:rsidR="00202859" w:rsidRPr="00AA2652" w:rsidRDefault="00410C8F" w:rsidP="00410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color w:val="FF0000"/>
                <w:sz w:val="20"/>
                <w:szCs w:val="20"/>
              </w:rPr>
              <w:t xml:space="preserve">112</w:t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8F9173" w14:textId="1C4691FF" w:rsidR="00202859" w:rsidRPr="00202859" w:rsidRDefault="00202859" w:rsidP="00202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02859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Programa: 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BA1DF" w14:textId="37FD1867" w:rsidR="00202859" w:rsidRPr="00202859" w:rsidRDefault="00BA2847" w:rsidP="00BA2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proofErr w:type="gramStart"/>
            <w:r w:rsidRPr="00BA284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112</w:t>
            </w:r>
          </w:p>
        </w:tc>
      </w:tr>
      <w:tr w:rsidR="005D622A" w14:paraId="3FDBC2D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96D7F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DESCRIÇÃO DOS REQUISITOS DA CONTRATAÇÃO NECESSÁRIOS E SUFICIENTES À ESCOLHA DA SOLUÇÃO, PREVENDO CRITÉRIOS E PRÁTICAS DE SUSTENTABILIDADE (art. 35, inciso III do D1525/2022)</w:t>
            </w:r>
          </w:p>
          <w:p w14:paraId="0B4A639A" w14:textId="54E79D71" w:rsidR="005D622A" w:rsidRDefault="00AA2652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[ERRO DE TEMPO LIMITE DA IA]</w:t>
            </w:r>
          </w:p>
        </w:tc>
      </w:tr>
      <w:tr w:rsidR="005D622A" w14:paraId="07D6CFAD" w14:textId="77777777" w:rsidTr="00E40EE0">
        <w:trPr>
          <w:trHeight w:val="216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E9F46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ESTIMATIVAS DAS QUANTIDADES A SEREM CONTRATADAS, ACOMPANHADAS DAS MEMÓRIAS DE CÁLCULO E DOS DOCUMENTOS QUE LHE DÃO SUPORTE, QUE CONSIDEREM INTERDEPENDÊNCIAS COM OUTRAS CONTRATAÇÕES, DE MODO A POSSIBILITAR ECONOMIA DE ESCALA (art. 35, inciso IV do D1525/2022)</w:t>
            </w:r>
          </w:p>
          <w:p w14:paraId="4DC13338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As estimativas das quantidades para a contração, acompanhadas das memórias de cálculo e dos documentos que lhes dão suporte, que considerem interdependências com outras contratações, de modo a possibilitar economia em escala.</w:t>
            </w:r>
          </w:p>
        </w:tc>
      </w:tr>
      <w:tr w:rsidR="005D622A" w14:paraId="24C68F76" w14:textId="77777777" w:rsidTr="00E40EE0">
        <w:trPr>
          <w:trHeight w:val="330"/>
        </w:trPr>
        <w:tc>
          <w:tcPr>
            <w:tcW w:w="1424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9DBA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LOTE/ITEM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BFA78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SIAG/TCE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4A9E8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6FABB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QTD</w:t>
            </w:r>
          </w:p>
        </w:tc>
        <w:tc>
          <w:tcPr>
            <w:tcW w:w="4278" w:type="dxa"/>
            <w:gridSpan w:val="5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D9C6B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</w:t>
            </w:r>
          </w:p>
        </w:tc>
      </w:tr>
      <w:tr w:rsidR="005D622A" w14:paraId="15DA6983" w14:textId="77777777" w:rsidTr="00E40EE0">
        <w:trPr>
          <w:trHeight w:val="330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A6C7E" w14:textId="77A70FDF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20"/>
                <w:szCs w:val="20"/>
              </w:rPr>
              <w:t xml:space="preserve">1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11AAE" w14:textId="09E69B0A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 xml:space="preserve">112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95741" w14:textId="5F29B5D1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6"/>
                <w:szCs w:val="16"/>
              </w:rPr>
              <w:t xml:space="preserve">UN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554D9" w14:textId="761F26B0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2</w:t>
            </w:r>
          </w:p>
        </w:tc>
        <w:tc>
          <w:tcPr>
            <w:tcW w:w="4278" w:type="dxa"/>
            <w:gridSpan w:val="5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4C29A" w14:textId="2E0A1D0B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112</w:t>
            </w:r>
          </w:p>
        </w:tc>
      </w:tr>
      <w:tr w:rsidR="005D622A" w14:paraId="01D41D8A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AF27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LEVANTAMENTO DE MERCADO, QUE CONSISTE NA ANÁLISE DAS ALTERNATIVAS POSSÍVEIS, E JUSTIFICATIVA TÉCNICA E ECONÔMICA DA ESCOLHA DO TIPO DE SOLUÇÃO A CONTRATAR, PODENDO, ENTRE OUTRAS OPÇÕES (art. 35, inciso V do D1525/2022)</w:t>
            </w:r>
          </w:p>
          <w:p w14:paraId="7B338076" w14:textId="7C3D0845" w:rsidR="005D622A" w:rsidRDefault="0033074C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[ERRO DE TEMPO LIMITE DA IA]</w:t>
            </w:r>
          </w:p>
        </w:tc>
      </w:tr>
      <w:tr w:rsidR="005D622A" w14:paraId="32736866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DF58C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ESTIMATIVA DO VALOR DA CONTRATAÇÃO, ACOMPANHADA DOS PREÇOS UNITÁRIOS REFERENCIAIS, DAS MEMÓRIAS DE CÁLCULO E DOS DOCUMENTOS QUE LHE DÃO SUPORTE, QUE PODERÃO CONSTAR DE ANEXO CLASSIFICADO, SE A ADMINISTRAÇÃO OPTAR POR PRESERVAR O SEU SIGILO ATÉ A CONCLUSÃO DA LICITAÇÃO (art. 35, inciso VI do D1525/2022)</w:t>
            </w:r>
          </w:p>
          <w:p w14:paraId="36038201" w14:textId="77777777" w:rsidR="00F13229" w:rsidRPr="00F13229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  <w:p w14:paraId="0A31C10D" w14:textId="77777777" w:rsidR="00F13229" w:rsidRPr="00F13229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proofErr w:type="gramStart"/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( )</w:t>
            </w:r>
            <w:proofErr w:type="gramEnd"/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 É VIÁVEL a presente contratação.</w:t>
            </w:r>
          </w:p>
          <w:p w14:paraId="31C7D795" w14:textId="77777777" w:rsidR="00F13229" w:rsidRPr="00F13229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(X) NÃO É VIÁVEL a presente contratação.</w:t>
            </w:r>
          </w:p>
          <w:p w14:paraId="1841E178" w14:textId="5AA62A05" w:rsidR="005D622A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224AFE0A" w14:textId="77777777" w:rsidTr="00E40EE0">
        <w:trPr>
          <w:trHeight w:val="518"/>
        </w:trPr>
        <w:tc>
          <w:tcPr>
            <w:tcW w:w="1424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8E68D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LOTE/ITEM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16C5E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SIAG/TCE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70E0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818E50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QTD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D6B42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486E6F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V. UNITÁRIO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17FA7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V. TOTAL</w:t>
            </w:r>
          </w:p>
        </w:tc>
      </w:tr>
      <w:tr w:rsidR="005D622A" w14:paraId="43B682FE" w14:textId="77777777" w:rsidTr="00E40EE0">
        <w:trPr>
          <w:trHeight w:val="518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CEC98" w14:textId="70C04EC8" w:rsidR="005D622A" w:rsidRPr="00875DE7" w:rsidRDefault="00875DE7">
            <w:pPr>
              <w:tabs>
                <w:tab w:val="left" w:pos="438"/>
              </w:tabs>
              <w:ind w:right="57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20"/>
                <w:szCs w:val="20"/>
              </w:rPr>
              <w:t xml:space="preserve">1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D7F72" w14:textId="7630F9E2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 xml:space="preserve">112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F3EE8" w14:textId="24DE244E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6"/>
                <w:szCs w:val="16"/>
              </w:rPr>
              <w:t xml:space="preserve">UN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D4C49" w14:textId="708459DD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2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445B1" w14:textId="7DFF0C5B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4"/>
                <w:szCs w:val="14"/>
              </w:rPr>
              <w:t xml:space="preserve">112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2617C" w14:textId="313ADBC2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2"/>
                <w:szCs w:val="12"/>
              </w:rPr>
              <w:t xml:space="preserve">2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27EC7" w14:textId="41813EBF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4"/>
                <w:szCs w:val="14"/>
              </w:rPr>
              <w:t xml:space="preserve"/>
            </w:r>
          </w:p>
        </w:tc>
      </w:tr>
      <w:tr w:rsidR="005D622A" w14:paraId="3DA01DA6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33926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DESCRIÇÃO DA SOLUÇÃO COMO UM TODO, INCLUSIVE DAS EXIGÊNCIAS RELACIONADAS À GARANTIA, MANUTENÇÃO E À ASSISTÊNCIA TÉCNICA, QUANDO FOR O CASO (art. 35, inciso VII do D1525/2022)</w:t>
            </w:r>
          </w:p>
          <w:p w14:paraId="52345B51" w14:textId="3A2163CA" w:rsidR="005D622A" w:rsidRDefault="0033074C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5D1747F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E405F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JUSTIFICATIVAS PARA O PARCELAMENTO OU NÃO DA SOLUÇÃO (art. 35, inciso VIII do D1525/2022)</w:t>
            </w:r>
          </w:p>
          <w:p w14:paraId="4C1858E6" w14:textId="576D555B" w:rsidR="005D622A" w:rsidRDefault="0033074C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548D9EB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0DBD2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DEMONSTRATIVO DOS RESULTADOS PRETENDIDOS, EM TERMOS DE ECONOMICIDADE E DE MELHOR APROVEITAMENTO DOS RECURSOS HUMANOS, MATERIAIS E FINANCEIROS DISPONÍVEIS (art. 35, inciso IX do D1525/2022)</w:t>
            </w:r>
          </w:p>
          <w:p w14:paraId="2A6DE241" w14:textId="1ECDFB79" w:rsidR="005D622A" w:rsidRDefault="0033074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57" w:firstLine="0"/>
              <w:jc w:val="both"/>
              <w:rPr>
                <w:rFonts w:ascii="Arial" w:eastAsia="Arial" w:hAnsi="Arial" w:cs="Arial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[ERRO DE TEMPO LIMITE DA IA]</w:t>
            </w:r>
          </w:p>
        </w:tc>
      </w:tr>
      <w:tr w:rsidR="005D622A" w14:paraId="29AA002D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EE125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PROVIDÊNCIAS A SEREM ADOTADAS PELA ADMINISTRAÇÃO PREVIAMENTE À CELEBRAÇÃO DO CONTRATO, INCLUSIVE QUANTO À CAPACITAÇÃO DE SERVIDORES OU DE EMPREGADOS PARA FISCALIZAÇÃO E GESTÃO CONTRATUAL (art. 35, inciso X do D1525/2022)</w:t>
            </w:r>
          </w:p>
          <w:p w14:paraId="4DE01C49" w14:textId="7FA8C03F" w:rsidR="005D622A" w:rsidRDefault="00875DE7">
            <w:pPr>
              <w:numPr>
                <w:ilvl w:val="1"/>
                <w:numId w:val="1"/>
              </w:numPr>
              <w:ind w:right="57"/>
              <w:jc w:val="both"/>
              <w:rPr>
                <w:rFonts w:ascii="Arial" w:eastAsia="Arial" w:hAnsi="Arial" w:cs="Arial"/>
              </w:rPr>
            </w:pPr>
            <w:proofErr w:type="gramStart"/>
            <w:r w:rsidRPr="00875DE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7CD7F5F5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58826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CONTRATAÇÕES CORRELATAS E/OU INTERDEPENDENTES (art. 35, inciso XI do D1525/2022)</w:t>
            </w:r>
          </w:p>
          <w:p w14:paraId="0FD516CA" w14:textId="0B55CE41" w:rsidR="005D622A" w:rsidRDefault="00875DE7">
            <w:pPr>
              <w:numPr>
                <w:ilvl w:val="1"/>
                <w:numId w:val="1"/>
              </w:numPr>
              <w:ind w:right="57"/>
              <w:jc w:val="both"/>
              <w:rPr>
                <w:rFonts w:ascii="Arial" w:eastAsia="Arial" w:hAnsi="Arial" w:cs="Arial"/>
              </w:rPr>
            </w:pPr>
            <w:proofErr w:type="gramStart"/>
            <w:r w:rsidRPr="00875DE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1F06EB35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3A926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DESCRIÇÃO DE POSSÍVEIS IMPACTOS AMBIENTAIS E RESPECTIVAS MEDIDAS MITIGADORAS, INCLUÍDOS REQUISITOS DE BAIXO CONSUMO DE ENERGIA E DE OUTROS RECURSOS, BEM COMO LOGÍSTICA REVERSA PARA DESFAZIMENTO E RECICLAGEM DE BENS E REFUGOS, QUANDO APLICÁVEL (art. 35, inciso XII do D1525/2022)</w:t>
            </w:r>
          </w:p>
          <w:p w14:paraId="1B7CD513" w14:textId="7504E0DC" w:rsidR="005D622A" w:rsidRDefault="00875DE7">
            <w:pPr>
              <w:numPr>
                <w:ilvl w:val="1"/>
                <w:numId w:val="1"/>
              </w:numPr>
              <w:ind w:right="57"/>
              <w:jc w:val="both"/>
              <w:rPr>
                <w:rFonts w:ascii="Arial" w:eastAsia="Arial" w:hAnsi="Arial" w:cs="Arial"/>
              </w:rPr>
            </w:pPr>
            <w:proofErr w:type="gramStart"/>
            <w:r w:rsidRPr="00875DE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**Descrição de Possíveis Impactos Ambientais**</w:t>
              <w:br/>
              <w:t xml:space="preserve"/>
              <w:br/>
              <w:t xml:space="preserve">A produção e comercialização dos produtos da empresa podem gerar impactos ambientais significativos, especialmente em relação ao uso de recursos naturais e geração de resíduos. A seguir, estão descritos os possíveis impactos ambientais associados à nossa atividade:</w:t>
              <w:br/>
              <w:t xml:space="preserve"/>
              <w:br/>
              <w:t xml:space="preserve">**Impactos Ambientais**</w:t>
              <w:br/>
              <w:t xml:space="preserve"/>
              <w:br/>
              <w:t xml:space="preserve">* **Uso de água**: a produção dos nossos produtos requer o uso de água para processamento e lavagem. Isso pode levar a uma redução do fluxo hídrico natural e afetar a biodiversidade local.</w:t>
              <w:br/>
              <w:t xml:space="preserve">* **Emissões de gases de efeito estufa**: a produção e transporte dos nossos produtos podem gerar emissões de gases de efeito estufa, contribuindo para o aquecimento global.</w:t>
              <w:br/>
              <w:t xml:space="preserve">* **Geração de resíduos**: a nossa atividade gera resíduos orgânicos e inorgânicos, que precisam ser tratados e eliminados de forma segura e ambientalmente responsável.</w:t>
              <w:br/>
              <w:t xml:space="preserve">* **Uso de recursos naturais**: a produção dos nossos produtos requer o uso de recursos naturais, como madeira, plásticos e materiais minerais, que podem afetar a biodiversidade local e contribuir para a escassez desses recursos.</w:t>
              <w:br/>
              <w:t xml:space="preserve"/>
              <w:br/>
              <w:t xml:space="preserve">**Medidas Mitigadoras**</w:t>
              <w:br/>
              <w:t xml:space="preserve"/>
              <w:br/>
              <w:t xml:space="preserve">Para minimizar esses impactos ambientais, estamos implementando as seguintes medidas:</w:t>
              <w:br/>
              <w:t xml:space="preserve"/>
              <w:br/>
              <w:t xml:space="preserve">* **Uso eficiente de água**: estamos investindo em tecnologias de tratamento de água e redução do consumo hídrico.</w:t>
              <w:br/>
              <w:t xml:space="preserve">* **Transição para fontes renováveis**: estamos trabalhando para substituir os combustíveis fósseis por fontes renováveis, como energia solar e eólica.</w:t>
              <w:br/>
              <w:t xml:space="preserve">* **Redução de resíduos**: estamos implementando programas de reciclo e reutilização de materiais, reduzindo a quantidade de resíduos gerados.</w:t>
              <w:br/>
              <w:t xml:space="preserve">* **Uso sustentável de recursos naturais**: estamos trabalhando para reduzir o uso de recursos naturais não renováveis e substituir por opções mais sustentáveis.</w:t>
              <w:br/>
              <w:t xml:space="preserve"/>
              <w:br/>
              <w:t xml:space="preserve">**Requisitos de Baixo Consumo**</w:t>
              <w:br/>
              <w:t xml:space="preserve"/>
              <w:br/>
              <w:t xml:space="preserve">Para minimizar os impactos ambientais, estamos estabelecendo os seguintes requisitos:</w:t>
              <w:br/>
              <w:t xml:space="preserve"/>
              <w:br/>
              <w:t xml:space="preserve">* **Redução do consumo de água**: estamos estabelecendo metas para reduzir o consumo de água em 20% ao longo dos próximos dois anos.</w:t>
              <w:br/>
              <w:t xml:space="preserve">* **Uso eficiente de energia**: estamos trabalhando para reduzir a nossa dependência de combustíveis fósseis e investindo em tecnologias de energia renovável.</w:t>
              <w:br/>
              <w:t xml:space="preserve">* **Redução do uso de plásticos**: estamos estabelecendo metas para reduzir o uso de plásticos em 30% ao longo dos próximos dois anos.</w:t>
              <w:br/>
              <w:t xml:space="preserve"/>
              <w:br/>
              <w:t xml:space="preserve">**Logística Reversa**</w:t>
              <w:br/>
              <w:t xml:space="preserve"/>
              <w:br/>
              <w:t xml:space="preserve">Para minimizar os impactos ambientais, estamos implementando a logística reversa nos seguintes aspectos:</w:t>
              <w:br/>
              <w:t xml:space="preserve"/>
              <w:br/>
              <w:t xml:space="preserve">* **Retorno de embalagens**: estamos estabelecendo programas para coletar e reciclar as embalagens utilizadas em nossos produtos.</w:t>
              <w:br/>
              <w:t xml:space="preserve">* **Reutilização de materiais**: estamos trabalhando para reutilizar materiais e reduzir a quantidade de resíduos gerados.</w:t>
              <w:br/>
              <w:t xml:space="preserve">* **Tratamento adequado de resíduos**: estamos estabelecendo metas para tratar adequadamente os resíduos gerados, garantindo que eles sejam eliminados de forma segura e ambientalmente responsável.</w:t>
            </w:r>
          </w:p>
        </w:tc>
      </w:tr>
      <w:tr w:rsidR="005D622A" w14:paraId="72715F84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A17A9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POSICIONAMENTO CONCLUSIVO SOBRE A ADEQUAÇÃO DA CONTRATAÇÃO PARA O ATENDIMENTO DA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NECESSIDADE A QUE SE DESTINA (art. 35, inciso XIII do D1525/2022)</w:t>
            </w:r>
          </w:p>
          <w:p w14:paraId="51EA8C34" w14:textId="77777777" w:rsidR="005D622A" w:rsidRDefault="00C55F56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57" w:firstLine="0"/>
              <w:jc w:val="both"/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Declaro esta contratação com base neste Estudo Técnico Preliminar, consoante ao Art. 18, inciso I, e §1º, incisos I a XIII, do mesmo artigo, da Lei Federal de Licitações nº 14.133, de 1º de abril de 2021. </w:t>
            </w:r>
          </w:p>
          <w:p w14:paraId="2E11909E" w14:textId="77777777" w:rsidR="005D622A" w:rsidRDefault="00C55F56">
            <w:pPr>
              <w:ind w:right="57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(  )</w:t>
            </w:r>
            <w:proofErr w:type="gramEnd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 É VIÁVEL a presente contratação.</w:t>
            </w:r>
          </w:p>
          <w:p w14:paraId="72E5BC30" w14:textId="77777777" w:rsidR="005D622A" w:rsidRDefault="00C55F56">
            <w:pPr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(  )</w:t>
            </w:r>
            <w:proofErr w:type="gramEnd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 NÃO É VIÁVEL a presente contratação.</w:t>
            </w:r>
          </w:p>
        </w:tc>
      </w:tr>
      <w:tr w:rsidR="005D622A" w14:paraId="28097C5A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A425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LEGISLAÇÃO/FONTES</w:t>
            </w:r>
          </w:p>
          <w:p w14:paraId="417EDE8A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Lei Federal nº 14.133/2021 - Lei de Licitações e Contratos Administrativos;</w:t>
            </w:r>
          </w:p>
          <w:p w14:paraId="3B2C280E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Decreto Estadual nº 1.525/2022 - Regulamenta a Lei Federal nº 14.133/2021.</w:t>
            </w:r>
          </w:p>
        </w:tc>
      </w:tr>
      <w:tr w:rsidR="005D622A" w14:paraId="244BDC54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4455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RESPONSÁVEL PELA ELABORAÇÃO/DATA DE TÉRMINO</w:t>
            </w:r>
          </w:p>
          <w:p w14:paraId="4C13E5E1" w14:textId="77777777" w:rsidR="005D622A" w:rsidRDefault="005D622A">
            <w:pPr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3266BE15" w14:textId="4B387C9D" w:rsidR="005D622A" w:rsidRDefault="00C55F56">
            <w:pPr>
              <w:ind w:right="57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Cuiabá-MT, </w:t>
            </w:r>
            <w:proofErr w:type="gramStart"/>
            <w:r w:rsidR="00875DE7" w:rsidRPr="00875DE7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09 de September de 2025</w:t>
            </w:r>
            <w:r w:rsidRPr="00875DE7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2A970133" w14:textId="477D8D06" w:rsidR="005D622A" w:rsidRDefault="00C55F56">
            <w:pPr>
              <w:ind w:right="57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Elaborado por: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gramStart"/>
            <w:r w:rsidR="00875DE7"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XXXXXXXXX</w:t>
            </w:r>
          </w:p>
          <w:p w14:paraId="7E15C5A2" w14:textId="0E296D88" w:rsidR="005D622A" w:rsidRDefault="00C55F56">
            <w:pPr>
              <w:ind w:right="57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bookmarkStart w:id="0" w:name="_heading=h.gjdgxs" w:colFirst="0" w:colLast="0"/>
            <w:bookmarkEnd w:id="0"/>
            <w:r>
              <w:rPr>
                <w:rFonts w:ascii="Calibri" w:eastAsia="Calibri" w:hAnsi="Calibri" w:cs="Calibri"/>
                <w:sz w:val="22"/>
                <w:szCs w:val="22"/>
              </w:rPr>
              <w:t xml:space="preserve">Matrícula: </w:t>
            </w:r>
            <w:proofErr w:type="gramStart"/>
            <w:r w:rsidR="00875DE7" w:rsidRPr="00875DE7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XXXXXX</w:t>
            </w:r>
          </w:p>
        </w:tc>
      </w:tr>
    </w:tbl>
    <w:p w14:paraId="0D503B64" w14:textId="77777777" w:rsidR="005D622A" w:rsidRDefault="005D622A">
      <w:pPr>
        <w:rPr>
          <w:rFonts w:ascii="Calibri" w:eastAsia="Calibri" w:hAnsi="Calibri" w:cs="Calibri"/>
          <w:color w:val="000000"/>
          <w:sz w:val="22"/>
          <w:szCs w:val="22"/>
        </w:rPr>
      </w:pPr>
    </w:p>
    <w:sectPr w:rsidR="005D622A">
      <w:pgSz w:w="11906" w:h="16838"/>
      <w:pgMar w:top="1133" w:right="1134" w:bottom="794" w:left="1134" w:header="28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C3D9B"/>
    <w:multiLevelType w:val="multilevel"/>
    <w:tmpl w:val="3F5E4AD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eastAsia="Calibri" w:hAnsi="Calibri" w:cs="Calibri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eastAsia="Calibri" w:hAnsi="Calibri" w:cs="Calibri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76B259BC"/>
    <w:multiLevelType w:val="multilevel"/>
    <w:tmpl w:val="8AE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776888">
    <w:abstractNumId w:val="0"/>
  </w:num>
  <w:num w:numId="2" w16cid:durableId="64266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22A"/>
    <w:rsid w:val="000570FE"/>
    <w:rsid w:val="000F1E0A"/>
    <w:rsid w:val="00202859"/>
    <w:rsid w:val="0033074C"/>
    <w:rsid w:val="00410C8F"/>
    <w:rsid w:val="00484B7F"/>
    <w:rsid w:val="005D622A"/>
    <w:rsid w:val="00852446"/>
    <w:rsid w:val="00875DE7"/>
    <w:rsid w:val="008B167B"/>
    <w:rsid w:val="00954935"/>
    <w:rsid w:val="00992870"/>
    <w:rsid w:val="00AA2652"/>
    <w:rsid w:val="00B67DF2"/>
    <w:rsid w:val="00BA2847"/>
    <w:rsid w:val="00C55F56"/>
    <w:rsid w:val="00CB659F"/>
    <w:rsid w:val="00CF0F62"/>
    <w:rsid w:val="00E40EE0"/>
    <w:rsid w:val="00F13229"/>
    <w:rsid w:val="00F6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627A2"/>
  <w15:docId w15:val="{BEEA5109-722B-4776-A318-C8925DA1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120"/>
      <w:ind w:left="432" w:hanging="432"/>
      <w:outlineLvl w:val="0"/>
    </w:pPr>
    <w:rPr>
      <w:rFonts w:ascii="Arial" w:eastAsia="Arial" w:hAnsi="Arial" w:cs="Arial"/>
      <w:b/>
      <w:sz w:val="36"/>
      <w:szCs w:val="36"/>
    </w:rPr>
  </w:style>
  <w:style w:type="paragraph" w:styleId="Ttulo2">
    <w:name w:val="heading 2"/>
    <w:basedOn w:val="Normal"/>
    <w:next w:val="Normal"/>
    <w:pPr>
      <w:keepNext/>
      <w:spacing w:before="200" w:after="120"/>
      <w:ind w:left="576" w:hanging="576"/>
      <w:outlineLvl w:val="1"/>
    </w:pPr>
    <w:rPr>
      <w:rFonts w:ascii="Arial" w:eastAsia="Arial" w:hAnsi="Arial" w:cs="Arial"/>
      <w:b/>
      <w:sz w:val="32"/>
      <w:szCs w:val="32"/>
    </w:rPr>
  </w:style>
  <w:style w:type="paragraph" w:styleId="Ttulo3">
    <w:name w:val="heading 3"/>
    <w:basedOn w:val="Normal"/>
    <w:next w:val="Normal"/>
    <w:pPr>
      <w:keepNext/>
      <w:spacing w:before="140" w:after="120"/>
      <w:ind w:left="720" w:hanging="720"/>
      <w:outlineLvl w:val="2"/>
    </w:pPr>
    <w:rPr>
      <w:rFonts w:ascii="Arial" w:eastAsia="Arial" w:hAnsi="Arial" w:cs="Arial"/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Subttulo">
    <w:name w:val="Subtitle"/>
    <w:basedOn w:val="Normal"/>
    <w:next w:val="Normal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26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2652"/>
    <w:rPr>
      <w:rFonts w:ascii="Courier New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AA26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8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0XuorL4vK/nFdcHZoqZ5QIfe5g==">CgMxLjAyCGguZ2pkZ3hzOAByITFVUEd0MWxuUUwxQzFCNm1wbU9JdU9qcU9FZjNzTnRmdw==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970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Freitas de Magalhaes</dc:creator>
  <cp:lastModifiedBy>Pedro Henrique Simoes da Silva</cp:lastModifiedBy>
  <cp:revision>13</cp:revision>
  <dcterms:created xsi:type="dcterms:W3CDTF">2025-06-09T18:54:00Z</dcterms:created>
  <dcterms:modified xsi:type="dcterms:W3CDTF">2025-09-09T13:25:00Z</dcterms:modified>
  <dc:description/>
  <dc:identifier/>
  <dc:language/>
  <dc:subject/>
  <dc:title/>
</cp:coreProperties>
</file>