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485D8A" w14:textId="77777777" w:rsidR="005D622A" w:rsidRDefault="005D622A">
      <w:pPr>
        <w:pBdr>
          <w:top w:val="nil"/>
          <w:left w:val="nil"/>
          <w:bottom w:val="nil"/>
          <w:right w:val="nil"/>
          <w:between w:val="nil"/>
        </w:pBdr>
        <w:spacing w:line="276" w:lineRule="auto"/>
        <w:rPr>
          <w:rFonts w:ascii="Arial" w:eastAsia="Arial" w:hAnsi="Arial" w:cs="Arial"/>
          <w:color w:val="000000"/>
          <w:sz w:val="22"/>
          <w:szCs w:val="22"/>
        </w:rPr>
      </w:pPr>
    </w:p>
    <w:tbl>
      <w:tblPr>
        <w:tblStyle w:val="a"/>
        <w:tblW w:w="99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1426"/>
        <w:gridCol w:w="1279"/>
        <w:gridCol w:w="147"/>
        <w:gridCol w:w="753"/>
        <w:gridCol w:w="673"/>
        <w:gridCol w:w="744"/>
        <w:gridCol w:w="682"/>
        <w:gridCol w:w="1288"/>
        <w:gridCol w:w="138"/>
        <w:gridCol w:w="1426"/>
      </w:tblGrid>
      <w:tr w:rsidR="005D622A" w14:paraId="388ECF8F" w14:textId="77777777" w:rsidTr="00E40EE0">
        <w:trPr>
          <w:trHeight w:val="325"/>
        </w:trPr>
        <w:tc>
          <w:tcPr>
            <w:tcW w:w="9980" w:type="dxa"/>
            <w:gridSpan w:val="11"/>
            <w:vAlign w:val="center"/>
          </w:tcPr>
          <w:p w14:paraId="7C392D61" w14:textId="78582223" w:rsidR="005D622A" w:rsidRPr="00E40EE0" w:rsidRDefault="00C55F56" w:rsidP="00E40EE0">
            <w:pPr>
              <w:spacing w:before="120" w:after="120"/>
              <w:jc w:val="center"/>
              <w:rPr>
                <w:rFonts w:ascii="Calibri" w:eastAsia="Calibri" w:hAnsi="Calibri" w:cs="Calibri"/>
                <w:sz w:val="32"/>
                <w:szCs w:val="32"/>
                <w:highlight w:val="yellow"/>
              </w:rPr>
            </w:pPr>
            <w:r w:rsidRPr="00E40EE0">
              <w:rPr>
                <w:rFonts w:ascii="Calibri" w:eastAsia="Calibri" w:hAnsi="Calibri" w:cs="Calibri"/>
                <w:b/>
                <w:sz w:val="32"/>
                <w:szCs w:val="32"/>
              </w:rPr>
              <w:t xml:space="preserve">ESTUDO TÉCNICO PRELIMINAR Nº </w:t>
            </w:r>
            <w:proofErr w:type="gramStart"/>
            <w:r w:rsidR="0033074C" w:rsidRPr="0033074C">
              <w:rPr>
                <w:rFonts w:ascii="Calibri" w:eastAsia="Calibri" w:hAnsi="Calibri" w:cs="Calibri"/>
                <w:b/>
                <w:color w:val="EE0000"/>
                <w:sz w:val="32"/>
                <w:szCs w:val="32"/>
              </w:rPr>
              <w:t xml:space="preserve">003/2025</w:t>
            </w:r>
          </w:p>
        </w:tc>
      </w:tr>
      <w:tr w:rsidR="005D622A" w14:paraId="65AEF32A" w14:textId="77777777" w:rsidTr="00E40EE0">
        <w:trPr>
          <w:trHeight w:val="54"/>
        </w:trPr>
        <w:tc>
          <w:tcPr>
            <w:tcW w:w="9980" w:type="dxa"/>
            <w:gridSpan w:val="11"/>
          </w:tcPr>
          <w:p w14:paraId="59BD7B63"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ÁREA REQUISITANTE</w:t>
            </w:r>
          </w:p>
          <w:p w14:paraId="302A669A" w14:textId="680B9B41" w:rsidR="00E40EE0" w:rsidRDefault="0033074C">
            <w:pPr>
              <w:jc w:val="both"/>
              <w:rPr>
                <w:rFonts w:ascii="Calibri" w:eastAsia="Calibri" w:hAnsi="Calibri" w:cs="Calibri"/>
                <w:b/>
                <w:sz w:val="22"/>
                <w:szCs w:val="22"/>
              </w:rPr>
            </w:pPr>
            <w:proofErr w:type="gramStart"/>
            <w:r w:rsidRPr="0033074C">
              <w:rPr>
                <w:rFonts w:ascii="Calibri" w:eastAsia="Calibri" w:hAnsi="Calibri" w:cs="Calibri"/>
                <w:b/>
                <w:color w:val="EE0000"/>
                <w:sz w:val="22"/>
                <w:szCs w:val="22"/>
              </w:rPr>
              <w:t xml:space="preserve">COORDENADORIA DE TECNOLOGIA DA INFORMAÇÃO</w:t>
            </w:r>
          </w:p>
        </w:tc>
      </w:tr>
      <w:tr w:rsidR="005D622A" w14:paraId="7EB02734" w14:textId="77777777" w:rsidTr="00E40EE0">
        <w:trPr>
          <w:trHeight w:val="54"/>
        </w:trPr>
        <w:tc>
          <w:tcPr>
            <w:tcW w:w="5029" w:type="dxa"/>
            <w:gridSpan w:val="5"/>
            <w:shd w:val="clear" w:color="auto" w:fill="BFBFBF"/>
          </w:tcPr>
          <w:p w14:paraId="03B38E91"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ÁREA REQUISITANTE</w:t>
            </w:r>
          </w:p>
        </w:tc>
        <w:tc>
          <w:tcPr>
            <w:tcW w:w="4951" w:type="dxa"/>
            <w:gridSpan w:val="6"/>
            <w:shd w:val="clear" w:color="auto" w:fill="BFBFBF"/>
          </w:tcPr>
          <w:p w14:paraId="1A71114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 xml:space="preserve">RESPONSÁVEL</w:t>
            </w:r>
          </w:p>
        </w:tc>
      </w:tr>
      <w:tr w:rsidR="005D622A" w14:paraId="0E732DBE" w14:textId="77777777" w:rsidTr="00E40EE0">
        <w:trPr>
          <w:trHeight w:val="54"/>
        </w:trPr>
        <w:tc>
          <w:tcPr>
            <w:tcW w:w="5029" w:type="dxa"/>
            <w:gridSpan w:val="5"/>
          </w:tcPr>
          <w:p w14:paraId="26F09BD9" w14:textId="546AADA4" w:rsidR="00E40EE0"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COORDENADORIA DE TECNOLOGIA DA INFORMAÇÃO</w:t>
            </w:r>
          </w:p>
        </w:tc>
        <w:tc>
          <w:tcPr>
            <w:tcW w:w="4951" w:type="dxa"/>
            <w:gridSpan w:val="6"/>
          </w:tcPr>
          <w:p w14:paraId="77979D1C" w14:textId="2E99C59B" w:rsidR="005D622A"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Danilo Vieira da Cruz</w:t>
            </w:r>
          </w:p>
        </w:tc>
      </w:tr>
      <w:tr w:rsidR="005D622A" w14:paraId="46A67C6E" w14:textId="77777777" w:rsidTr="00E40EE0">
        <w:tc>
          <w:tcPr>
            <w:tcW w:w="9980" w:type="dxa"/>
            <w:gridSpan w:val="11"/>
          </w:tcPr>
          <w:p w14:paraId="73AE7B28"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INTRODUÇÃO</w:t>
            </w:r>
          </w:p>
          <w:p w14:paraId="07B7A306" w14:textId="77777777" w:rsidR="005D622A" w:rsidRDefault="00C55F56">
            <w:pPr>
              <w:numPr>
                <w:ilvl w:val="1"/>
                <w:numId w:val="1"/>
              </w:numPr>
              <w:ind w:left="0" w:firstLine="0"/>
              <w:jc w:val="both"/>
              <w:rPr>
                <w:rFonts w:ascii="Calibri" w:eastAsia="Calibri" w:hAnsi="Calibri" w:cs="Calibri"/>
                <w:sz w:val="22"/>
                <w:szCs w:val="22"/>
              </w:rPr>
            </w:pPr>
            <w:r w:rsidRPr="000570FE">
              <w:rPr>
                <w:rFonts w:ascii="Calibri" w:eastAsia="Calibri" w:hAnsi="Calibri" w:cs="Calibri"/>
                <w:sz w:val="22"/>
                <w:szCs w:val="22"/>
              </w:rPr>
              <w:t>O Estudo Técnico Preliminar (ETP) dará início a fase preparatória para a contratação de empresa para aquisição de materiais de consumo (itens</w:t>
            </w:r>
            <w:r w:rsidR="000570FE">
              <w:rPr>
                <w:rFonts w:ascii="Calibri" w:eastAsia="Calibri" w:hAnsi="Calibri" w:cs="Calibri"/>
                <w:sz w:val="22"/>
                <w:szCs w:val="22"/>
              </w:rPr>
              <w:t xml:space="preserve"> de informática</w:t>
            </w:r>
            <w:r w:rsidRPr="000570FE">
              <w:rPr>
                <w:rFonts w:ascii="Calibri" w:eastAsia="Calibri" w:hAnsi="Calibri" w:cs="Calibri"/>
                <w:sz w:val="22"/>
                <w:szCs w:val="22"/>
              </w:rPr>
              <w:t xml:space="preserve">) </w:t>
            </w:r>
            <w:r>
              <w:rPr>
                <w:rFonts w:ascii="Calibri" w:eastAsia="Calibri" w:hAnsi="Calibri" w:cs="Calibri"/>
                <w:sz w:val="22"/>
                <w:szCs w:val="22"/>
              </w:rPr>
              <w:t>para atender às demandas do Departamento Estadual de Trânsito de Mato Grosso;</w:t>
            </w:r>
          </w:p>
          <w:p w14:paraId="2AF5C97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Compreende-se que este documento constituirá a primeira fase do planejamento da contratação, que retratará o interesse público envolvido e a sua melhor solução, servirá de base para o anteprojeto, termo de referência ou ao projeto básico a serem elaborados caso se reconheça pela viabilidade da contratação;</w:t>
            </w:r>
          </w:p>
          <w:p w14:paraId="323E9B1F"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Evidenciará o problema a ser resolvido e a sua melhor solução, de modo a permitir a avaliação da viabilidade técnica e econômica da contração;</w:t>
            </w:r>
          </w:p>
          <w:p w14:paraId="26D1B34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O Estudo que antecede a aquisição pretendida, em sua fase preparatória, estará pautado nas deliberações legais regulatórias, em âmbito Nacional e Estadual, inclusive no que diz respeito a Lei Federal de Licitações e Contratos Administrativos nº 14.133, de 1º de abril de 2021. No artigo 18, §2º, desta Lei, diz: “o estudo técnico preliminar deverá conter ao menos os elementos previstos nos incisos I, IV, VI, VIII e XIII do §1º deste artigo e, quando não contemplar os demais elementos previstos no referido parágrafo, apresentar as devidas justificativas;</w:t>
            </w:r>
          </w:p>
          <w:p w14:paraId="55D77B6A" w14:textId="77777777" w:rsidR="005D622A" w:rsidRDefault="00C55F56" w:rsidP="000570FE">
            <w:pPr>
              <w:numPr>
                <w:ilvl w:val="1"/>
                <w:numId w:val="1"/>
              </w:numPr>
              <w:spacing w:after="120"/>
              <w:ind w:left="0" w:firstLine="0"/>
              <w:jc w:val="both"/>
              <w:rPr>
                <w:rFonts w:ascii="Calibri" w:eastAsia="Calibri" w:hAnsi="Calibri" w:cs="Calibri"/>
                <w:sz w:val="22"/>
                <w:szCs w:val="22"/>
              </w:rPr>
            </w:pPr>
            <w:r>
              <w:rPr>
                <w:rFonts w:ascii="Calibri" w:eastAsia="Calibri" w:hAnsi="Calibri" w:cs="Calibri"/>
                <w:sz w:val="22"/>
                <w:szCs w:val="22"/>
              </w:rPr>
              <w:t>No âmbito estadual, a Nova Lei de Licitações e Contratos é regulamentada pelo Decreto Estadual nº 1.525/2022;</w:t>
            </w:r>
          </w:p>
        </w:tc>
      </w:tr>
      <w:tr w:rsidR="005D622A" w14:paraId="751AB2F5" w14:textId="77777777" w:rsidTr="00E40EE0">
        <w:tc>
          <w:tcPr>
            <w:tcW w:w="9980" w:type="dxa"/>
            <w:gridSpan w:val="11"/>
          </w:tcPr>
          <w:p w14:paraId="7C006984" w14:textId="77777777" w:rsidR="005D622A" w:rsidRDefault="00C55F56" w:rsidP="00AA2652">
            <w:pPr>
              <w:numPr>
                <w:ilvl w:val="0"/>
                <w:numId w:val="1"/>
              </w:numPr>
              <w:shd w:val="clear" w:color="auto" w:fill="D9D9D9"/>
              <w:tabs>
                <w:tab w:val="left" w:pos="438"/>
              </w:tabs>
              <w:ind w:right="57"/>
              <w:jc w:val="both"/>
              <w:rPr>
                <w:rFonts w:ascii="Calibri" w:eastAsia="Calibri" w:hAnsi="Calibri" w:cs="Calibri"/>
                <w:b/>
                <w:sz w:val="22"/>
                <w:szCs w:val="22"/>
              </w:rPr>
            </w:pPr>
            <w:r>
              <w:rPr>
                <w:rFonts w:ascii="Calibri" w:eastAsia="Calibri" w:hAnsi="Calibri" w:cs="Calibri"/>
                <w:b/>
                <w:sz w:val="22"/>
                <w:szCs w:val="22"/>
              </w:rPr>
              <w:t xml:space="preserve">DESCRIÇÃO DA NECESSIDADE DA CONTRATAÇÃO, CONSIDERANDO O PROBLEMA A SER RESOLVIDO SOB A PERSPECTIVA DO INTERESSE PÚBLICO (art. 35, inciso I do D1525/2022)</w:t>
            </w:r>
          </w:p>
          <w:p w14:paraId="3740E723" w14:textId="77777777" w:rsidR="005D622A" w:rsidRPr="00AA2652" w:rsidRDefault="00AA2652" w:rsidP="00AA2652">
            <w:pPr>
              <w:widowControl/>
              <w:spacing w:before="100" w:beforeAutospacing="1" w:after="100" w:afterAutospacing="1"/>
              <w:rPr>
                <w:rFonts w:ascii="Courier New" w:hAnsi="Courier New" w:cs="Courier New"/>
                <w:color w:val="EE0000"/>
                <w:sz w:val="20"/>
                <w:szCs w:val="20"/>
              </w:rPr>
            </w:pPr>
            <w:proofErr w:type="gramStart"/>
            <w:r w:rsidRPr="00AA2652">
              <w:rPr>
                <w:rFonts w:ascii="Courier New" w:hAnsi="Courier New" w:cs="Courier New"/>
                <w:color w:val="EE0000"/>
                <w:sz w:val="20"/>
                <w:szCs w:val="20"/>
              </w:rPr>
              <w:t xml:space="preserve">**Descrição da Necessidade da Contratação**</w:t>
              <w:br/>
              <w:t xml:space="preserve"/>
              <w:br/>
              <w:t xml:space="preserve">O Departamento Estadual de Trânsito de Mato Grosso (DETRAN-MT) é uma instituição pública responsável por promover a segurança e a fluidez no trânsito estadual. Para atingir seus objetivos, o DETRAN-MT depende da utilização de materiais de consumo específicos para a operacionalização dos serviços.</w:t>
              <w:br/>
              <w:t xml:space="preserve"/>
              <w:br/>
              <w:t xml:space="preserve">A contratação de materiais de consumo (itens de informática) é fundamental para garantir a eficiência e a eficácia das atividades desenvolvidas pelo DETRAN-MT. Os itens de informática são essenciais para o processamento e armazenamento de dados, bem como para a comunicação entre os funcionários e com as outras instituições.</w:t>
              <w:br/>
              <w:t xml:space="preserve"/>
              <w:br/>
              <w:t xml:space="preserve">A necessidade da contratação decorre do fato de que os materiais de consumo atuais estão apresentando problemas de obsolescência tecnológica, o que compromete a capacidade de processamento e armazenamento de dados. Além disso, a falta de atualização dos equipamentos leva a uma redução da produtividade e eficiência nos serviços prestados.</w:t>
              <w:br/>
              <w:t xml:space="preserve"/>
              <w:br/>
              <w:t xml:space="preserve">A contratação de materiais de consumo novos e modernos permitirá ao DETRAN-MT:</w:t>
              <w:br/>
              <w:t xml:space="preserve"/>
              <w:br/>
              <w:t xml:space="preserve">* Melhorar a capacidade de processamento e armazenamento de dados, garantindo a segurança e confiabilidade dos sistemas;</w:t>
              <w:br/>
              <w:t xml:space="preserve">* Incrementar a produtividade e eficiência nos serviços prestados, tornando mais rápido e eficaz o atendimento às demandas do público;</w:t>
              <w:br/>
              <w:t xml:space="preserve">* Manter-se atualizado em relação às tecnologias e soluções mais avançadas, garantindo a competitividade e a excelência no desempenho dos serviços.</w:t>
              <w:br/>
              <w:t xml:space="preserve"/>
              <w:br/>
              <w:t xml:space="preserve">Além disso, a contratação de materiais de consumo é fundamental para atender às demandas da sociedade, pois os serviços prestados pelo DETRAN-MT são essenciais para a segurança e fluidez do trânsito estadual. A melhoria na eficiência e produtividade dos serviços contribui para o bem-estar da população e para a economia do Estado.</w:t>
              <w:br/>
              <w:t xml:space="preserve"/>
              <w:br/>
              <w:t xml:space="preserve">Em resumo, a contratação de materiais de consumo (itens de informática) é fundamental para garantir a eficiência e eficácia das atividades desenvolvidas pelo DETRAN-MT, contribuindo para o bem-estar da população e para a economia do Estado.</w:t>
            </w:r>
          </w:p>
          <w:p w14:paraId="1A45715D" w14:textId="0D8A8C19" w:rsidR="00AA2652" w:rsidRPr="00AA2652" w:rsidRDefault="00AA2652" w:rsidP="00AA2652">
            <w:pPr>
              <w:widowControl/>
              <w:spacing w:before="100" w:beforeAutospacing="1" w:after="100" w:afterAutospacing="1"/>
            </w:pPr>
          </w:p>
        </w:tc>
      </w:tr>
      <w:tr w:rsidR="005D622A" w14:paraId="4ECE4CB1" w14:textId="77777777" w:rsidTr="00E40EE0">
        <w:tc>
          <w:tcPr>
            <w:tcW w:w="9980" w:type="dxa"/>
            <w:gridSpan w:val="11"/>
          </w:tcPr>
          <w:p w14:paraId="1C50475C"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DEMONSTRAÇÃO DA PREVISÃO DA CONTRATAÇÃO NO PLANO DE CONTRATAÇÕES ANUAL, SEMPRE QUE ELABORADO, OU DESDE QUE JUSTIFICADA A IMPOSSIBILIDADE, DE MODO A INDICAR O SEU ALINHAMENTO COM OS INSTRUMENTOS DE PLANEJAMENTO DO ÓRGÃO OU ENTIDADE (art. 35, inciso II do D1525/2022)</w:t>
            </w:r>
          </w:p>
        </w:tc>
      </w:tr>
      <w:tr w:rsidR="005D622A" w14:paraId="35144777" w14:textId="77777777" w:rsidTr="00E40EE0">
        <w:trPr>
          <w:trHeight w:val="217"/>
        </w:trPr>
        <w:tc>
          <w:tcPr>
            <w:tcW w:w="9980" w:type="dxa"/>
            <w:gridSpan w:val="11"/>
            <w:tcMar>
              <w:top w:w="55" w:type="dxa"/>
              <w:left w:w="55" w:type="dxa"/>
              <w:bottom w:w="55" w:type="dxa"/>
              <w:right w:w="55" w:type="dxa"/>
            </w:tcMar>
          </w:tcPr>
          <w:p w14:paraId="5B610BF3" w14:textId="77777777" w:rsidR="005D622A" w:rsidRDefault="00C55F56">
            <w:pPr>
              <w:numPr>
                <w:ilvl w:val="1"/>
                <w:numId w:val="1"/>
              </w:numPr>
              <w:ind w:left="0" w:firstLine="0"/>
              <w:jc w:val="both"/>
              <w:rPr>
                <w:rFonts w:ascii="Calibri" w:eastAsia="Calibri" w:hAnsi="Calibri" w:cs="Calibri"/>
                <w:color w:val="000000"/>
                <w:sz w:val="22"/>
                <w:szCs w:val="22"/>
              </w:rPr>
            </w:pPr>
            <w:r>
              <w:rPr>
                <w:rFonts w:ascii="Calibri" w:eastAsia="Calibri" w:hAnsi="Calibri" w:cs="Calibri"/>
                <w:color w:val="FF0000"/>
                <w:sz w:val="22"/>
                <w:szCs w:val="22"/>
              </w:rPr>
              <w:t xml:space="preserve">Demonstração da previsão da contratação no plano de contrações anual, sempre que elaborado, de modo a indicar o seu alinhamento com o planejamento da Administração.</w:t>
            </w:r>
          </w:p>
        </w:tc>
      </w:tr>
      <w:tr w:rsidR="005D622A" w14:paraId="05F7485B" w14:textId="77777777" w:rsidTr="00AA2652">
        <w:trPr>
          <w:trHeight w:val="122"/>
        </w:trPr>
        <w:tc>
          <w:tcPr>
            <w:tcW w:w="4129" w:type="dxa"/>
            <w:gridSpan w:val="3"/>
            <w:tcMar>
              <w:top w:w="55" w:type="dxa"/>
              <w:left w:w="55" w:type="dxa"/>
              <w:bottom w:w="55" w:type="dxa"/>
              <w:right w:w="55" w:type="dxa"/>
            </w:tcMar>
          </w:tcPr>
          <w:p w14:paraId="6606601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Sub ação: </w:t>
            </w:r>
          </w:p>
        </w:tc>
        <w:tc>
          <w:tcPr>
            <w:tcW w:w="2317" w:type="dxa"/>
            <w:gridSpan w:val="4"/>
            <w:tcMar>
              <w:top w:w="55" w:type="dxa"/>
              <w:left w:w="55" w:type="dxa"/>
              <w:bottom w:w="55" w:type="dxa"/>
              <w:right w:w="55" w:type="dxa"/>
            </w:tcMar>
          </w:tcPr>
          <w:p w14:paraId="1DA06317" w14:textId="4C8A753A"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D0626F3"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Etapa:</w:t>
            </w:r>
          </w:p>
        </w:tc>
        <w:tc>
          <w:tcPr>
            <w:tcW w:w="1564" w:type="dxa"/>
            <w:gridSpan w:val="2"/>
            <w:tcMar>
              <w:top w:w="55" w:type="dxa"/>
              <w:left w:w="55" w:type="dxa"/>
              <w:bottom w:w="55" w:type="dxa"/>
              <w:right w:w="55" w:type="dxa"/>
            </w:tcMar>
          </w:tcPr>
          <w:p w14:paraId="6010F797" w14:textId="7CC821AD"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r>
      <w:tr w:rsidR="005D622A" w14:paraId="67A74A47" w14:textId="77777777" w:rsidTr="00AA2652">
        <w:trPr>
          <w:trHeight w:val="43"/>
        </w:trPr>
        <w:tc>
          <w:tcPr>
            <w:tcW w:w="4129" w:type="dxa"/>
            <w:gridSpan w:val="3"/>
            <w:tcMar>
              <w:top w:w="55" w:type="dxa"/>
              <w:left w:w="55" w:type="dxa"/>
              <w:bottom w:w="55" w:type="dxa"/>
              <w:right w:w="55" w:type="dxa"/>
            </w:tcMar>
          </w:tcPr>
          <w:p w14:paraId="7A9F7F2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Natureza da Despesa:</w:t>
            </w:r>
          </w:p>
        </w:tc>
        <w:tc>
          <w:tcPr>
            <w:tcW w:w="2317" w:type="dxa"/>
            <w:gridSpan w:val="4"/>
            <w:tcMar>
              <w:top w:w="55" w:type="dxa"/>
              <w:left w:w="55" w:type="dxa"/>
              <w:bottom w:w="55" w:type="dxa"/>
              <w:right w:w="55" w:type="dxa"/>
            </w:tcMar>
          </w:tcPr>
          <w:p w14:paraId="53DD1E68" w14:textId="16CD90BA" w:rsidR="005D622A" w:rsidRDefault="00AA2652">
            <w:pPr>
              <w:pBdr>
                <w:top w:val="nil"/>
                <w:left w:val="nil"/>
                <w:bottom w:val="nil"/>
                <w:right w:val="nil"/>
                <w:between w:val="nil"/>
              </w:pBdr>
              <w:tabs>
                <w:tab w:val="left" w:pos="314"/>
              </w:tabs>
              <w:jc w:val="center"/>
              <w:rPr>
                <w:rFonts w:ascii="Calibri" w:eastAsia="Calibri" w:hAnsi="Calibri" w:cs="Calibri"/>
                <w:color w:val="000000"/>
                <w:sz w:val="22"/>
                <w:szCs w:val="22"/>
              </w:rPr>
            </w:pPr>
            <w:proofErr w:type="gramStart"/>
            <w:r w:rsidRPr="00AA2652">
              <w:rPr>
                <w:rFonts w:ascii="Calibri" w:eastAsia="Calibri" w:hAnsi="Calibri" w:cs="Calibri"/>
                <w:color w:val="FF0000"/>
                <w:sz w:val="18"/>
                <w:szCs w:val="18"/>
              </w:rPr>
              <w:t xml:space="preserve">112</w:t>
            </w:r>
          </w:p>
        </w:tc>
        <w:tc>
          <w:tcPr>
            <w:tcW w:w="1970" w:type="dxa"/>
            <w:gridSpan w:val="2"/>
            <w:tcMar>
              <w:top w:w="55" w:type="dxa"/>
              <w:left w:w="55" w:type="dxa"/>
              <w:bottom w:w="55" w:type="dxa"/>
              <w:right w:w="55" w:type="dxa"/>
            </w:tcMar>
          </w:tcPr>
          <w:p w14:paraId="64E45AB7"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Fonte:</w:t>
            </w:r>
          </w:p>
        </w:tc>
        <w:tc>
          <w:tcPr>
            <w:tcW w:w="1564" w:type="dxa"/>
            <w:gridSpan w:val="2"/>
            <w:tcMar>
              <w:top w:w="55" w:type="dxa"/>
              <w:left w:w="55" w:type="dxa"/>
              <w:bottom w:w="55" w:type="dxa"/>
              <w:right w:w="55" w:type="dxa"/>
            </w:tcMar>
          </w:tcPr>
          <w:p w14:paraId="2778FDA4" w14:textId="744FD10E"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2"/>
                <w:szCs w:val="22"/>
              </w:rPr>
              <w:t xml:space="preserve">112</w:t>
            </w:r>
          </w:p>
        </w:tc>
      </w:tr>
      <w:tr w:rsidR="00202859" w14:paraId="000DD197" w14:textId="77777777" w:rsidTr="00AA2652">
        <w:trPr>
          <w:trHeight w:val="43"/>
        </w:trPr>
        <w:tc>
          <w:tcPr>
            <w:tcW w:w="4129" w:type="dxa"/>
            <w:gridSpan w:val="3"/>
            <w:tcMar>
              <w:top w:w="55" w:type="dxa"/>
              <w:left w:w="55" w:type="dxa"/>
              <w:bottom w:w="55" w:type="dxa"/>
              <w:right w:w="55" w:type="dxa"/>
            </w:tcMar>
          </w:tcPr>
          <w:p w14:paraId="03E0D93D" w14:textId="2921670A" w:rsidR="00202859" w:rsidRDefault="00202859" w:rsidP="00410C8F">
            <w:pPr>
              <w:pBdr>
                <w:top w:val="nil"/>
                <w:left w:val="nil"/>
                <w:bottom w:val="nil"/>
                <w:right w:val="nil"/>
                <w:between w:val="nil"/>
              </w:pBdr>
              <w:tabs>
                <w:tab w:val="left" w:pos="314"/>
              </w:tabs>
              <w:jc w:val="center"/>
              <w:rPr>
                <w:rFonts w:ascii="Calibri" w:eastAsia="Calibri" w:hAnsi="Calibri" w:cs="Calibri"/>
                <w:color w:val="000000"/>
                <w:sz w:val="22"/>
                <w:szCs w:val="22"/>
              </w:rPr>
            </w:pPr>
            <w:r>
              <w:rPr>
                <w:rFonts w:ascii="Calibri" w:eastAsia="Calibri" w:hAnsi="Calibri" w:cs="Calibri"/>
                <w:color w:val="000000"/>
                <w:sz w:val="22"/>
                <w:szCs w:val="22"/>
              </w:rPr>
              <w:t xml:space="preserve">Projeto/Atividade:</w:t>
            </w:r>
          </w:p>
        </w:tc>
        <w:tc>
          <w:tcPr>
            <w:tcW w:w="2317" w:type="dxa"/>
            <w:gridSpan w:val="4"/>
            <w:tcMar>
              <w:top w:w="55" w:type="dxa"/>
              <w:left w:w="55" w:type="dxa"/>
              <w:bottom w:w="55" w:type="dxa"/>
              <w:right w:w="55" w:type="dxa"/>
            </w:tcMar>
          </w:tcPr>
          <w:p w14:paraId="63FAB21B" w14:textId="1F44B005" w:rsidR="00202859" w:rsidRPr="00AA2652" w:rsidRDefault="00410C8F" w:rsidP="00410C8F">
            <w:pPr>
              <w:pBdr>
                <w:top w:val="nil"/>
                <w:left w:val="nil"/>
                <w:bottom w:val="nil"/>
                <w:right w:val="nil"/>
                <w:between w:val="nil"/>
              </w:pBdr>
              <w:tabs>
                <w:tab w:val="left" w:pos="314"/>
              </w:tabs>
              <w:jc w:val="center"/>
              <w:rPr>
                <w:rFonts w:ascii="Calibri" w:eastAsia="Calibri" w:hAnsi="Calibri" w:cs="Calibri"/>
                <w:color w:val="FF0000"/>
                <w:sz w:val="18"/>
                <w:szCs w:val="18"/>
              </w:rPr>
            </w:pPr>
            <w:proofErr w:type="gramStart"/>
            <w:r>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38F9173" w14:textId="1C4691FF" w:rsidR="00202859" w:rsidRPr="00202859" w:rsidRDefault="00202859" w:rsidP="00202859">
            <w:pPr>
              <w:pBdr>
                <w:top w:val="nil"/>
                <w:left w:val="nil"/>
                <w:bottom w:val="nil"/>
                <w:right w:val="nil"/>
                <w:between w:val="nil"/>
              </w:pBdr>
              <w:tabs>
                <w:tab w:val="left" w:pos="314"/>
              </w:tabs>
              <w:rPr>
                <w:rFonts w:ascii="Calibri" w:eastAsia="Calibri" w:hAnsi="Calibri" w:cs="Calibri"/>
                <w:color w:val="000000"/>
                <w:sz w:val="18"/>
                <w:szCs w:val="18"/>
              </w:rPr>
            </w:pPr>
            <w:r w:rsidRPr="00202859">
              <w:rPr>
                <w:rFonts w:ascii="Calibri" w:eastAsia="Calibri" w:hAnsi="Calibri" w:cs="Calibri"/>
                <w:color w:val="000000"/>
                <w:sz w:val="18"/>
                <w:szCs w:val="18"/>
              </w:rPr>
              <w:t xml:space="preserve">Programa: </w:t>
            </w:r>
          </w:p>
        </w:tc>
        <w:tc>
          <w:tcPr>
            <w:tcW w:w="1564" w:type="dxa"/>
            <w:gridSpan w:val="2"/>
            <w:tcMar>
              <w:top w:w="55" w:type="dxa"/>
              <w:left w:w="55" w:type="dxa"/>
              <w:bottom w:w="55" w:type="dxa"/>
              <w:right w:w="55" w:type="dxa"/>
            </w:tcMar>
          </w:tcPr>
          <w:p w14:paraId="55CBA1DF" w14:textId="37FD1867" w:rsidR="00202859" w:rsidRPr="00202859" w:rsidRDefault="00BA2847" w:rsidP="00BA2847">
            <w:pPr>
              <w:pBdr>
                <w:top w:val="nil"/>
                <w:left w:val="nil"/>
                <w:bottom w:val="nil"/>
                <w:right w:val="nil"/>
                <w:between w:val="nil"/>
              </w:pBdr>
              <w:tabs>
                <w:tab w:val="left" w:pos="314"/>
              </w:tabs>
              <w:rPr>
                <w:rFonts w:ascii="Calibri" w:eastAsia="Calibri" w:hAnsi="Calibri" w:cs="Calibri"/>
                <w:color w:val="FF0000"/>
                <w:sz w:val="18"/>
                <w:szCs w:val="18"/>
              </w:rPr>
            </w:pPr>
            <w:proofErr w:type="gramStart"/>
            <w:r w:rsidRPr="00BA2847">
              <w:rPr>
                <w:rFonts w:ascii="Calibri" w:eastAsia="Calibri" w:hAnsi="Calibri" w:cs="Calibri"/>
                <w:color w:val="FF0000"/>
                <w:sz w:val="22"/>
                <w:szCs w:val="22"/>
              </w:rPr>
              <w:t xml:space="preserve">112</w:t>
            </w:r>
          </w:p>
        </w:tc>
      </w:tr>
      <w:tr w:rsidR="005D622A" w14:paraId="3FDBC2D8" w14:textId="77777777" w:rsidTr="00E40EE0">
        <w:trPr>
          <w:trHeight w:val="518"/>
        </w:trPr>
        <w:tc>
          <w:tcPr>
            <w:tcW w:w="9980" w:type="dxa"/>
            <w:gridSpan w:val="11"/>
            <w:tcMar>
              <w:top w:w="55" w:type="dxa"/>
              <w:left w:w="55" w:type="dxa"/>
              <w:bottom w:w="55" w:type="dxa"/>
              <w:right w:w="55" w:type="dxa"/>
            </w:tcMar>
          </w:tcPr>
          <w:p w14:paraId="17D96D7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DOS REQUISITOS DA CONTRATAÇÃO NECESSÁRIOS E SUFICIENTES À ESCOLHA DA SOLUÇÃO, PREVENDO CRITÉRIOS E PRÁTICAS DE SUSTENTABILIDADE (art. 35, inciso III do D1525/2022)</w:t>
            </w:r>
          </w:p>
          <w:p w14:paraId="0B4A639A" w14:textId="54E79D71" w:rsidR="005D622A" w:rsidRDefault="00AA2652">
            <w:pPr>
              <w:numPr>
                <w:ilvl w:val="1"/>
                <w:numId w:val="1"/>
              </w:numPr>
              <w:ind w:left="0" w:right="57" w:firstLine="0"/>
              <w:jc w:val="both"/>
              <w:rPr>
                <w:rFonts w:ascii="Calibri" w:eastAsia="Calibri" w:hAnsi="Calibri" w:cs="Calibri"/>
                <w:sz w:val="22"/>
                <w:szCs w:val="22"/>
              </w:rPr>
            </w:pPr>
            <w:proofErr w:type="gramStart"/>
            <w:r w:rsidRPr="00AA2652">
              <w:rPr>
                <w:rFonts w:ascii="Calibri" w:eastAsia="Calibri" w:hAnsi="Calibri" w:cs="Calibri"/>
                <w:color w:val="FF0000"/>
                <w:sz w:val="22"/>
                <w:szCs w:val="22"/>
              </w:rPr>
              <w:t xml:space="preserve">Aqui está um exemplo de texto formal e completo para a seção "Descrição dos Requisitos da Contratação":</w:t>
              <w:br/>
              <w:t xml:space="preserve"/>
              <w:br/>
              <w:t xml:space="preserve">**Descrição dos Requisitos da Contratação**</w:t>
              <w:br/>
              <w:t xml:space="preserve"/>
              <w:br/>
              <w:t xml:space="preserve">O objetivo desta contratação é selecionar um(a) profissional(a) ou empresa que atenda aos seguintes requisitos técnicos e de sustentabilidade, com o intuito de fornecer [nome do serviço ou produto] de alta qualidade e sustentável.</w:t>
              <w:br/>
              <w:t xml:space="preserve"/>
              <w:br/>
              <w:t xml:space="preserve">**Requisitos Técnicos**</w:t>
              <w:br/>
              <w:t xml:space="preserve"/>
              <w:br/>
              <w:t xml:space="preserve">1. **Conhecimento e experiência**: O contratado deve possuir conhecimento e experiência em [área específica], com pelo menos [número] anos de experiência na área.</w:t>
              <w:br/>
              <w:t xml:space="preserve">2. **Formação acadêmica**: O contratado deve ter formação acadêmica em [área específica], como [título de grau e instituição].</w:t>
              <w:br/>
              <w:t xml:space="preserve">3. **Certificação**: O contratado deve possuir certificação em [área específica], como [nome da certificação e entidade emitente].</w:t>
              <w:br/>
              <w:t xml:space="preserve">4. **Habilidades**: O contratado deve possuir habilidades em [áreas específicas, como programação, design, etc.].</w:t>
              <w:br/>
              <w:t xml:space="preserve">5. **Equipamentos e ferramentas**: O contratado deve dispor de equipamentos e ferramentas adequados para o desenvolvimento do serviço ou produto.</w:t>
              <w:br/>
              <w:t xml:space="preserve"/>
              <w:br/>
              <w:t xml:space="preserve">**Requisitos de Sustentabilidade**</w:t>
              <w:br/>
              <w:t xml:space="preserve"/>
              <w:br/>
              <w:t xml:space="preserve">1. **Política de sustentabilidade**: O contratado deve ter uma política de sustentabilidade clara e definida, que inclua ações para reduzir o impacto ambiental e social do seu trabalho.</w:t>
              <w:br/>
              <w:t xml:space="preserve">2. **Certificação de sustentabilidade**: O contratado deve possuir certificação de sustentabilidade em [área específica], como [nome da certificação e entidade emitente].</w:t>
              <w:br/>
              <w:t xml:space="preserve">3. **Práticas sustentáveis**: O contratado deve adotar práticas sustentáveis, como [exemplos de práticas sustentáveis, como reciclo, reutilização, etc.].</w:t>
              <w:br/>
              <w:t xml:space="preserve">4. **Transparência**: O contratado deve ser transparente sobre as suas práticas e processos, fornecendo informações detalhadas sobre a sua política de sustentabilidade.</w:t>
              <w:br/>
              <w:t xml:space="preserve"/>
              <w:br/>
              <w:t xml:space="preserve">**Requisitos de Qualidade**</w:t>
              <w:br/>
              <w:t xml:space="preserve"/>
              <w:br/>
              <w:t xml:space="preserve">1. **Metodologia de trabalho**: O contratado deve possuir uma metodologia de trabalho clara e definida, que inclua ações para garantir a qualidade do serviço ou produto.</w:t>
              <w:br/>
              <w:t xml:space="preserve">2. **Controle de qualidade**: O contratado deve dispor de um sistema de controle de qualidade eficaz, que permita monitorar e avaliar o desempenho do serviço ou produto.</w:t>
              <w:br/>
              <w:t xml:space="preserve">3. **Garantia**: O contratado deve fornecer uma garantia de [período] anos para o serviço ou produto, cobrindo [definições específicas da garantia].</w:t>
              <w:br/>
              <w:t xml:space="preserve"/>
              <w:br/>
              <w:t xml:space="preserve">**Outros Requisitos**</w:t>
              <w:br/>
              <w:t xml:space="preserve"/>
              <w:br/>
              <w:t xml:space="preserve">1. **Comunicação**: O contratado deve ser capaz de estabelecer comunicação eficaz com a equipe e os stakeholders, fornecendo informações detalhadas sobre o progresso do serviço ou produto.</w:t>
              <w:br/>
              <w:t xml:space="preserve">2. **Flexibilidade**: O contratado deve ser flexível e adaptável às mudanças e necessidades específicas da contratação.</w:t>
              <w:br/>
              <w:t xml:space="preserve"/>
              <w:br/>
              <w:t xml:space="preserve">**Critérios de Seleção**</w:t>
              <w:br/>
              <w:t xml:space="preserve"/>
              <w:br/>
              <w:t xml:space="preserve">Os critérios de seleção para esta contratação serão baseados nos requisitos técnicos, de sustentabilidade e de qualidade apresentados acima. A seleção será feita com base em uma avaliação das propostas recebidas, considerando a experiência, habilidades e práticas do contratado.</w:t>
              <w:br/>
              <w:t xml:space="preserve"/>
              <w:br/>
              <w:t xml:space="preserve">**Data Limite para Envio de Propostas**</w:t>
              <w:br/>
              <w:t xml:space="preserve"/>
              <w:br/>
              <w:t xml:space="preserve">As propostas devem ser enviadas até [data limite] às [horário].</w:t>
            </w:r>
          </w:p>
        </w:tc>
      </w:tr>
      <w:tr w:rsidR="005D622A" w14:paraId="07D6CFAD" w14:textId="77777777" w:rsidTr="00E40EE0">
        <w:trPr>
          <w:trHeight w:val="216"/>
        </w:trPr>
        <w:tc>
          <w:tcPr>
            <w:tcW w:w="9980" w:type="dxa"/>
            <w:gridSpan w:val="11"/>
            <w:tcMar>
              <w:top w:w="55" w:type="dxa"/>
              <w:left w:w="55" w:type="dxa"/>
              <w:bottom w:w="55" w:type="dxa"/>
              <w:right w:w="55" w:type="dxa"/>
            </w:tcMar>
          </w:tcPr>
          <w:p w14:paraId="6CCE9F4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ESTIMATIVAS DAS QUANTIDADES A SEREM CONTRATADAS, ACOMPANHADAS DAS MEMÓRIAS DE CÁLCULO E DOS DOCUMENTOS QUE LHE DÃO SUPORTE, QUE CONSIDEREM INTERDEPENDÊNCIAS COM OUTRAS CONTRATAÇÕES, DE MODO A POSSIBILITAR ECONOMIA DE ESCALA (art. 35, inciso IV do D1525/2022)</w:t>
            </w:r>
          </w:p>
          <w:p w14:paraId="4DC13338" w14:textId="77777777" w:rsidR="005D622A" w:rsidRDefault="00C55F56">
            <w:pPr>
              <w:numPr>
                <w:ilvl w:val="1"/>
                <w:numId w:val="1"/>
              </w:numPr>
              <w:ind w:left="0" w:right="57" w:firstLine="0"/>
              <w:jc w:val="both"/>
              <w:rPr>
                <w:sz w:val="22"/>
                <w:szCs w:val="22"/>
              </w:rPr>
            </w:pPr>
            <w:r>
              <w:rPr>
                <w:rFonts w:ascii="Calibri" w:eastAsia="Calibri" w:hAnsi="Calibri" w:cs="Calibri"/>
                <w:color w:val="FF0000"/>
                <w:sz w:val="22"/>
                <w:szCs w:val="22"/>
              </w:rPr>
              <w:t>As estimativas das quantidades para a contração, acompanhadas das memórias de cálculo e dos documentos que lhes dão suporte, que considerem interdependências com outras contratações, de modo a possibilitar economia em escala.</w:t>
            </w:r>
          </w:p>
        </w:tc>
      </w:tr>
      <w:tr w:rsidR="005D622A" w14:paraId="24C68F76" w14:textId="77777777" w:rsidTr="00E40EE0">
        <w:trPr>
          <w:trHeight w:val="330"/>
        </w:trPr>
        <w:tc>
          <w:tcPr>
            <w:tcW w:w="1424" w:type="dxa"/>
            <w:shd w:val="clear" w:color="auto" w:fill="D9D9D9"/>
            <w:tcMar>
              <w:top w:w="55" w:type="dxa"/>
              <w:left w:w="55" w:type="dxa"/>
              <w:bottom w:w="55" w:type="dxa"/>
              <w:right w:w="55" w:type="dxa"/>
            </w:tcMar>
          </w:tcPr>
          <w:p w14:paraId="56E9DBA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tcPr>
          <w:p w14:paraId="649BFA7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tcPr>
          <w:p w14:paraId="4EE4A9E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tcPr>
          <w:p w14:paraId="3556FAB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4278" w:type="dxa"/>
            <w:gridSpan w:val="5"/>
            <w:shd w:val="clear" w:color="auto" w:fill="D9D9D9"/>
            <w:tcMar>
              <w:top w:w="55" w:type="dxa"/>
              <w:left w:w="55" w:type="dxa"/>
              <w:bottom w:w="55" w:type="dxa"/>
              <w:right w:w="55" w:type="dxa"/>
            </w:tcMar>
          </w:tcPr>
          <w:p w14:paraId="64DD9C6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112</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112</w:t>
            </w:r>
          </w:p>
        </w:tc>
      </w:tr>
      <w:tr w:rsidR="005D622A" w14:paraId="01D41D8A" w14:textId="77777777" w:rsidTr="00E40EE0">
        <w:trPr>
          <w:trHeight w:val="518"/>
        </w:trPr>
        <w:tc>
          <w:tcPr>
            <w:tcW w:w="9980" w:type="dxa"/>
            <w:gridSpan w:val="11"/>
            <w:tcMar>
              <w:top w:w="55" w:type="dxa"/>
              <w:left w:w="55" w:type="dxa"/>
              <w:bottom w:w="55" w:type="dxa"/>
              <w:right w:w="55" w:type="dxa"/>
            </w:tcMar>
          </w:tcPr>
          <w:p w14:paraId="09FAF27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LEVANTAMENTO DE MERCADO, QUE CONSISTE NA ANÁLISE DAS ALTERNATIVAS POSSÍVEIS, E JUSTIFICATIVA TÉCNICA E ECONÔMICA DA ESCOLHA DO TIPO DE SOLUÇÃO A CONTRATAR, PODENDO, ENTRE OUTRAS OPÇÕES (art. 35, inciso V do D1525/2022)</w:t>
            </w:r>
          </w:p>
          <w:p w14:paraId="7B338076" w14:textId="7C3D0845"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Here is the text for the "Analysis of Alternative Market Solutions" section:</w:t>
              <w:br/>
              <w:t xml:space="preserve"/>
              <w:br/>
              <w:t xml:space="preserve">**Análise das soluções alternativas de mercado**</w:t>
              <w:br/>
              <w:t xml:space="preserve"/>
              <w:br/>
              <w:t xml:space="preserve">In addition to the chosen solution, several alternative market solutions were considered. These alternatives are presented below, along with their advantages and disadvantages.</w:t>
              <w:br/>
              <w:t xml:space="preserve"/>
              <w:br/>
              <w:t xml:space="preserve">**Alternative 1: [Alternative Name]**</w:t>
              <w:br/>
              <w:t xml:space="preserve">This solution is based on [brief description of the alternative]. Its main advantage is [key benefit], which could lead to [potential outcome]. However, this approach also has some drawbacks, such as [major limitation] and [additional challenge].</w:t>
              <w:br/>
              <w:t xml:space="preserve"/>
              <w:br/>
              <w:t xml:space="preserve">**Alternative 2: [Alternative Name]**</w:t>
              <w:br/>
              <w:t xml:space="preserve">This solution relies on [brief description of the alternative]. One of its strengths is [key advantage], which could result in [desirable outcome]. Nevertheless, this option also presents some challenges, including [significant obstacle] and [additional consideration].</w:t>
              <w:br/>
              <w:t xml:space="preserve"/>
              <w:br/>
              <w:t xml:space="preserve">After careful evaluation of these alternatives, it was determined that the chosen solution is the most suitable for our needs. The key reasons for this decision are:</w:t>
              <w:br/>
              <w:t xml:space="preserve"/>
              <w:br/>
              <w:t xml:space="preserve">* [Reason 1]: This solution offers a more effective way to [achieve specific goal], as compared to the alternative solutions.</w:t>
              <w:br/>
              <w:t xml:space="preserve">* [Reason 2]: The chosen solution has a stronger track record of success in similar contexts, making it a more reliable choice.</w:t>
              <w:br/>
              <w:t xml:space="preserve">* [Reason 3]: The selected solution is better aligned with our organization's goals and objectives, ensuring that we can achieve the desired outcomes.</w:t>
              <w:br/>
              <w:t xml:space="preserve"/>
              <w:br/>
              <w:t xml:space="preserve">In conclusion, while the alternative market solutions presented above have their merits, the chosen solution remains the best option for our ETP. Its advantages, combined with its technical feasibility and alignment with our organizational goals, make it the most suitable choice for achieving our objectives.</w:t>
            </w:r>
          </w:p>
        </w:tc>
      </w:tr>
      <w:tr w:rsidR="005D622A" w14:paraId="32736866" w14:textId="77777777" w:rsidTr="00E40EE0">
        <w:trPr>
          <w:trHeight w:val="518"/>
        </w:trPr>
        <w:tc>
          <w:tcPr>
            <w:tcW w:w="9980" w:type="dxa"/>
            <w:gridSpan w:val="11"/>
            <w:tcMar>
              <w:top w:w="55" w:type="dxa"/>
              <w:left w:w="55" w:type="dxa"/>
              <w:bottom w:w="55" w:type="dxa"/>
              <w:right w:w="55" w:type="dxa"/>
            </w:tcMar>
          </w:tcPr>
          <w:p w14:paraId="417DF58C"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ESTIMATIVA DO VALOR DA CONTRATAÇÃO, ACOMPANHADA DOS PREÇOS UNITÁRIOS REFERENCIAIS, DAS MEMÓRIAS DE CÁLCULO E DOS DOCUMENTOS QUE LHE DÃO SUPORTE, QUE PODERÃO CONSTAR DE ANEXO CLASSIFICADO, SE A ADMINISTRAÇÃO OPTAR POR PRESERVAR O SEU SIGILO ATÉ A CONCLUSÃO DA LICITAÇÃO (art. 35, inciso VI do D1525/2022)</w:t>
            </w:r>
          </w:p>
          <w:p w14:paraId="36038201"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
            </w:r>
          </w:p>
          <w:p w14:paraId="0A31C10D"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proofErr w:type="gramStart"/>
            <w:r w:rsidRPr="00F13229">
              <w:rPr>
                <w:rFonts w:ascii="Calibri" w:eastAsia="Calibri" w:hAnsi="Calibri" w:cs="Calibri"/>
                <w:color w:val="FF0000"/>
                <w:sz w:val="22"/>
                <w:szCs w:val="22"/>
              </w:rPr>
              <w:t>( )</w:t>
            </w:r>
            <w:proofErr w:type="gramEnd"/>
            <w:r w:rsidRPr="00F13229">
              <w:rPr>
                <w:rFonts w:ascii="Calibri" w:eastAsia="Calibri" w:hAnsi="Calibri" w:cs="Calibri"/>
                <w:color w:val="FF0000"/>
                <w:sz w:val="22"/>
                <w:szCs w:val="22"/>
              </w:rPr>
              <w:t xml:space="preserve"> É VIÁVEL a presente contratação.</w:t>
            </w:r>
          </w:p>
          <w:p w14:paraId="31C7D795"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(X) NÃO É VIÁVEL a presente contratação.</w:t>
            </w:r>
          </w:p>
          <w:p w14:paraId="1841E178" w14:textId="5AA62A05" w:rsidR="005D622A" w:rsidRDefault="00F13229" w:rsidP="00F13229">
            <w:pPr>
              <w:pBdr>
                <w:top w:val="nil"/>
                <w:left w:val="nil"/>
                <w:bottom w:val="nil"/>
                <w:right w:val="nil"/>
                <w:between w:val="nil"/>
              </w:pBdr>
              <w:jc w:val="both"/>
            </w:pPr>
            <w:r w:rsidRPr="00F13229">
              <w:rPr>
                <w:rFonts w:ascii="Calibri" w:eastAsia="Calibri" w:hAnsi="Calibri" w:cs="Calibri"/>
                <w:color w:val="FF0000"/>
                <w:sz w:val="22"/>
                <w:szCs w:val="22"/>
              </w:rPr>
              <w:t xml:space="preserve"/>
            </w:r>
          </w:p>
        </w:tc>
      </w:tr>
      <w:tr w:rsidR="005D622A" w14:paraId="224AFE0A" w14:textId="77777777" w:rsidTr="00E40EE0">
        <w:trPr>
          <w:trHeight w:val="518"/>
        </w:trPr>
        <w:tc>
          <w:tcPr>
            <w:tcW w:w="1424" w:type="dxa"/>
            <w:shd w:val="clear" w:color="auto" w:fill="D9D9D9"/>
            <w:tcMar>
              <w:top w:w="55" w:type="dxa"/>
              <w:left w:w="55" w:type="dxa"/>
              <w:bottom w:w="55" w:type="dxa"/>
              <w:right w:w="55" w:type="dxa"/>
            </w:tcMar>
            <w:vAlign w:val="center"/>
          </w:tcPr>
          <w:p w14:paraId="1078E68D"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vAlign w:val="center"/>
          </w:tcPr>
          <w:p w14:paraId="09316C5E"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vAlign w:val="center"/>
          </w:tcPr>
          <w:p w14:paraId="48170E0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vAlign w:val="center"/>
          </w:tcPr>
          <w:p w14:paraId="37818E50"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1426" w:type="dxa"/>
            <w:gridSpan w:val="2"/>
            <w:shd w:val="clear" w:color="auto" w:fill="D9D9D9"/>
            <w:tcMar>
              <w:top w:w="55" w:type="dxa"/>
              <w:left w:w="55" w:type="dxa"/>
              <w:bottom w:w="55" w:type="dxa"/>
              <w:right w:w="55" w:type="dxa"/>
            </w:tcMar>
            <w:vAlign w:val="center"/>
          </w:tcPr>
          <w:p w14:paraId="003D6B42"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c>
          <w:tcPr>
            <w:tcW w:w="1426" w:type="dxa"/>
            <w:gridSpan w:val="2"/>
            <w:shd w:val="clear" w:color="auto" w:fill="D9D9D9"/>
            <w:tcMar>
              <w:top w:w="55" w:type="dxa"/>
              <w:left w:w="55" w:type="dxa"/>
              <w:bottom w:w="55" w:type="dxa"/>
              <w:right w:w="55" w:type="dxa"/>
            </w:tcMar>
            <w:vAlign w:val="center"/>
          </w:tcPr>
          <w:p w14:paraId="4F486E6F"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UNITÁRIO</w:t>
            </w:r>
          </w:p>
        </w:tc>
        <w:tc>
          <w:tcPr>
            <w:tcW w:w="1426" w:type="dxa"/>
            <w:shd w:val="clear" w:color="auto" w:fill="D9D9D9"/>
            <w:tcMar>
              <w:top w:w="55" w:type="dxa"/>
              <w:left w:w="55" w:type="dxa"/>
              <w:bottom w:w="55" w:type="dxa"/>
              <w:right w:w="55" w:type="dxa"/>
            </w:tcMar>
            <w:vAlign w:val="center"/>
          </w:tcPr>
          <w:p w14:paraId="28C17FA7"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TOTAL</w:t>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112</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112</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2"/>
                <w:szCs w:val="12"/>
              </w:rPr>
              <w:t xml:space="preserve">112</w:t>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
            </w:r>
          </w:p>
        </w:tc>
      </w:tr>
      <w:tr w:rsidR="005D622A" w14:paraId="3DA01DA6" w14:textId="77777777" w:rsidTr="00E40EE0">
        <w:trPr>
          <w:trHeight w:val="518"/>
        </w:trPr>
        <w:tc>
          <w:tcPr>
            <w:tcW w:w="9980" w:type="dxa"/>
            <w:gridSpan w:val="11"/>
            <w:tcMar>
              <w:top w:w="55" w:type="dxa"/>
              <w:left w:w="55" w:type="dxa"/>
              <w:bottom w:w="55" w:type="dxa"/>
              <w:right w:w="55" w:type="dxa"/>
            </w:tcMar>
          </w:tcPr>
          <w:p w14:paraId="7183392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DA SOLUÇÃO COMO UM TODO, INCLUSIVE DAS EXIGÊNCIAS RELACIONADAS À GARANTIA, MANUTENÇÃO E À ASSISTÊNCIA TÉCNICA, QUANDO FOR O CASO (art. 35, inciso VII do D1525/2022)</w:t>
            </w:r>
          </w:p>
          <w:p w14:paraId="52345B51" w14:textId="3A2163CA"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
            </w:r>
          </w:p>
        </w:tc>
      </w:tr>
      <w:tr w:rsidR="005D622A" w14:paraId="5D1747F8" w14:textId="77777777" w:rsidTr="00E40EE0">
        <w:trPr>
          <w:trHeight w:val="518"/>
        </w:trPr>
        <w:tc>
          <w:tcPr>
            <w:tcW w:w="9980" w:type="dxa"/>
            <w:gridSpan w:val="11"/>
            <w:tcMar>
              <w:top w:w="55" w:type="dxa"/>
              <w:left w:w="55" w:type="dxa"/>
              <w:bottom w:w="55" w:type="dxa"/>
              <w:right w:w="55" w:type="dxa"/>
            </w:tcMar>
          </w:tcPr>
          <w:p w14:paraId="429E405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JUSTIFICATIVAS PARA O PARCELAMENTO OU NÃO DA SOLUÇÃO (art. 35, inciso VIII do D1525/2022)</w:t>
            </w:r>
          </w:p>
          <w:p w14:paraId="4C1858E6" w14:textId="576D555B"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
            </w:r>
          </w:p>
        </w:tc>
      </w:tr>
      <w:tr w:rsidR="005D622A" w14:paraId="548D9EB8" w14:textId="77777777" w:rsidTr="00E40EE0">
        <w:trPr>
          <w:trHeight w:val="518"/>
        </w:trPr>
        <w:tc>
          <w:tcPr>
            <w:tcW w:w="9980" w:type="dxa"/>
            <w:gridSpan w:val="11"/>
            <w:tcMar>
              <w:top w:w="55" w:type="dxa"/>
              <w:left w:w="55" w:type="dxa"/>
              <w:bottom w:w="55" w:type="dxa"/>
              <w:right w:w="55" w:type="dxa"/>
            </w:tcMar>
          </w:tcPr>
          <w:p w14:paraId="6130DBD2"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DEMONSTRATIVO DOS RESULTADOS PRETENDIDOS, EM TERMOS DE ECONOMICIDADE E DE MELHOR APROVEITAMENTO DOS RECURSOS HUMANOS, MATERIAIS E FINANCEIROS DISPONÍVEIS (art. 35, inciso IX do D1525/2022)</w:t>
            </w:r>
          </w:p>
          <w:p w14:paraId="2A6DE241" w14:textId="1ECDFB79" w:rsidR="005D622A" w:rsidRDefault="0033074C">
            <w:pPr>
              <w:numPr>
                <w:ilvl w:val="1"/>
                <w:numId w:val="1"/>
              </w:numPr>
              <w:pBdr>
                <w:top w:val="nil"/>
                <w:left w:val="nil"/>
                <w:bottom w:val="nil"/>
                <w:right w:val="nil"/>
                <w:between w:val="nil"/>
              </w:pBdr>
              <w:ind w:left="0" w:right="57" w:firstLine="0"/>
              <w:jc w:val="both"/>
              <w:rPr>
                <w:rFonts w:ascii="Arial" w:eastAsia="Arial" w:hAnsi="Arial" w:cs="Arial"/>
              </w:rPr>
            </w:pPr>
            <w:proofErr w:type="gramStart"/>
            <w:r w:rsidRPr="0033074C">
              <w:rPr>
                <w:rFonts w:ascii="Calibri" w:eastAsia="Calibri" w:hAnsi="Calibri" w:cs="Calibri"/>
                <w:color w:val="FF0000"/>
                <w:sz w:val="22"/>
                <w:szCs w:val="22"/>
              </w:rPr>
              <w:t xml:space="preserve">Aqui estão os resultados pretendidos para o ETP (Esquema de Trabalho Público) relacionados à aquisição de materiais de consumo (itens de informática) para atender às demandas do Departamento Estadual de Trânsito de Mato Grosso, em termos de economicidade e melhor aproveitamento dos recursos humanos, materiais e financeiros disponíveis:</w:t>
              <w:br/>
              <w:t xml:space="preserve"/>
              <w:br/>
              <w:t xml:space="preserve">**Economicidade:**</w:t>
              <w:br/>
              <w:t xml:space="preserve"/>
              <w:br/>
              <w:t xml:space="preserve">1. Redução de custos: Aquisição de materiais de consumo a preços competitivos e com descontos para atender às demandas do Departamento Estadual de Trânsito de Mato Grosso.</w:t>
              <w:br/>
              <w:t xml:space="preserve">2. Melhoria da eficiência operacional: Utilização de tecnologias mais avançadas e eficientes, reduzindo o tempo e os recursos necessários para a realização das tarefas.</w:t>
              <w:br/>
              <w:t xml:space="preserve">3. Minimização dos desperdícios: Implementação de políticas de gestão de estoque eficazes para evitar perdas e desperdícios de materiais.</w:t>
              <w:br/>
              <w:t xml:space="preserve"/>
              <w:br/>
              <w:t xml:space="preserve">**Melhor aproveitamento dos recursos humanos:**</w:t>
              <w:br/>
              <w:t xml:space="preserve"/>
              <w:br/>
              <w:t xml:space="preserve">1. Treinamento e capacitação: Aumento da competência e habilidade dos funcionários do Departamento Estadual de Trânsito de Mato Grosso para utilizar os materiais de consumo adquiridos.</w:t>
              <w:br/>
              <w:t xml:space="preserve">2. Redução do tempo de trabalho: Utilização de ferramentas e tecnologias mais eficientes, reduzindo o tempo necessário para a realização das tarefas.</w:t>
              <w:br/>
              <w:t xml:space="preserve">3. Melhoria da produtividade: Aumento da capacidade dos funcionários para realizar suas tarefas, resultando em uma maior produtividade.</w:t>
              <w:br/>
              <w:t xml:space="preserve"/>
              <w:br/>
              <w:t xml:space="preserve">**Melhor aproveitamento dos recursos materiais e financeiros:**</w:t>
              <w:br/>
              <w:t xml:space="preserve"/>
              <w:br/>
              <w:t xml:space="preserve">1. Utilização racional de recursos: Aquisição de materiais de consumo que atendam às necessidades específicas do Departamento Estadual de Trânsito de Mato Grosso, evitando desperdícios e perdas.</w:t>
              <w:br/>
              <w:t xml:space="preserve">2. Gestão eficaz dos estoques: Implementação de políticas de gestão de estoque para evitar excessos ou falta de materiais, reduzindo os custos e melhorando a disponibilidade.</w:t>
              <w:br/>
              <w:t xml:space="preserve">3. Melhoria da segurança: Aquisição de materiais de consumo que atendam às normas e regulamentações vigentes, garantindo a segurança dos funcionários e dos cidadãos.</w:t>
              <w:br/>
              <w:t xml:space="preserve"/>
              <w:br/>
              <w:t xml:space="preserve">Em resumo, o ETP busca reduzir custos, melhorar a eficiência operacional, minimizar desperdícios e melhor aproveitar os recursos humanos, materiais e financeiros disponíveis para atender às demandas do Departamento Estadual de Trânsito de Mato Grosso.</w:t>
            </w:r>
          </w:p>
        </w:tc>
      </w:tr>
      <w:tr w:rsidR="005D622A" w14:paraId="29AA002D" w14:textId="77777777" w:rsidTr="00E40EE0">
        <w:trPr>
          <w:trHeight w:val="518"/>
        </w:trPr>
        <w:tc>
          <w:tcPr>
            <w:tcW w:w="9980" w:type="dxa"/>
            <w:gridSpan w:val="11"/>
            <w:tcMar>
              <w:top w:w="55" w:type="dxa"/>
              <w:left w:w="55" w:type="dxa"/>
              <w:bottom w:w="55" w:type="dxa"/>
              <w:right w:w="55" w:type="dxa"/>
            </w:tcMar>
          </w:tcPr>
          <w:p w14:paraId="580EE125"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PROVIDÊNCIAS A SEREM ADOTADAS PELA ADMINISTRAÇÃO PREVIAMENTE À CELEBRAÇÃO DO CONTRATO, INCLUSIVE QUANTO À CAPACITAÇÃO DE SERVIDORES OU DE EMPREGADOS PARA FISCALIZAÇÃO E GESTÃO CONTRATUAL (art. 35, inciso X do D1525/2022)</w:t>
            </w:r>
          </w:p>
          <w:p w14:paraId="4DE01C49" w14:textId="7FA8C03F"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
            </w:r>
          </w:p>
        </w:tc>
      </w:tr>
      <w:tr w:rsidR="005D622A" w14:paraId="7CD7F5F5" w14:textId="77777777" w:rsidTr="00E40EE0">
        <w:trPr>
          <w:trHeight w:val="518"/>
        </w:trPr>
        <w:tc>
          <w:tcPr>
            <w:tcW w:w="9980" w:type="dxa"/>
            <w:gridSpan w:val="11"/>
            <w:tcMar>
              <w:top w:w="55" w:type="dxa"/>
              <w:left w:w="55" w:type="dxa"/>
              <w:bottom w:w="55" w:type="dxa"/>
              <w:right w:w="55" w:type="dxa"/>
            </w:tcMar>
          </w:tcPr>
          <w:p w14:paraId="79D588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CONTRATAÇÕES CORRELATAS E/OU INTERDEPENDENTES (art. 35, inciso XI do D1525/2022)</w:t>
            </w:r>
          </w:p>
          <w:p w14:paraId="0FD516CA" w14:textId="0B55CE41"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
            </w:r>
          </w:p>
        </w:tc>
      </w:tr>
      <w:tr w:rsidR="005D622A" w14:paraId="1F06EB35" w14:textId="77777777" w:rsidTr="00E40EE0">
        <w:trPr>
          <w:trHeight w:val="518"/>
        </w:trPr>
        <w:tc>
          <w:tcPr>
            <w:tcW w:w="9980" w:type="dxa"/>
            <w:gridSpan w:val="11"/>
            <w:tcMar>
              <w:top w:w="55" w:type="dxa"/>
              <w:left w:w="55" w:type="dxa"/>
              <w:bottom w:w="55" w:type="dxa"/>
              <w:right w:w="55" w:type="dxa"/>
            </w:tcMar>
          </w:tcPr>
          <w:p w14:paraId="0403A9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DESCRIÇÃO DE POSSÍVEIS IMPACTOS AMBIENTAIS E RESPECTIVAS MEDIDAS MITIGADORAS, INCLUÍDOS REQUISITOS DE BAIXO CONSUMO DE ENERGIA E DE OUTROS RECURSOS, BEM COMO LOGÍSTICA REVERSA PARA DESFAZIMENTO E RECICLAGEM DE BENS E REFUGOS, QUANDO APLICÁVEL (art. 35, inciso XII do D1525/2022)</w:t>
            </w:r>
          </w:p>
          <w:p w14:paraId="1B7CD513" w14:textId="7504E0DC"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**Descrição de Possíveis Impactos Ambientais**</w:t>
              <w:br/>
              <w:t xml:space="preserve"/>
              <w:br/>
              <w:t xml:space="preserve">A produção e comercialização dos produtos [nome do produto] podem gerar impactos ambientais significativos se não forem implementadas medidas adequadas para minimizar esses efeitos. A seguir, estão listados os possíveis impactos ambientais associados à nossa atividade:</w:t>
              <w:br/>
              <w:t xml:space="preserve"/>
              <w:br/>
              <w:t xml:space="preserve">**Impactos Ambientais**</w:t>
              <w:br/>
              <w:t xml:space="preserve"/>
              <w:br/>
              <w:t xml:space="preserve">* **Emissões de gases de efeito estufa**: a produção e transporte dos produtos podem gerar emissões de gases de efeito estufa, contribuindo para o aquecimento global.</w:t>
              <w:br/>
              <w:t xml:space="preserve">* **Poluição hídrica**: a fabricação e tratamento de resíduos pode poluir os cursos d'água e riscos ambientais.</w:t>
              <w:br/>
              <w:t xml:space="preserve">* **Depleção de recursos naturais**: a extração de materiais primários e a produção de energia podem contribuir para a depleção de recursos naturais.</w:t>
              <w:br/>
              <w:t xml:space="preserve">* **Impactos sobre a biodiversidade**: a expansão da atividade pode afetar habitats naturais e espécies silvestres.</w:t>
              <w:br/>
              <w:t xml:space="preserve"/>
              <w:br/>
              <w:t xml:space="preserve">**Medidas Mitigadoras**</w:t>
              <w:br/>
              <w:t xml:space="preserve"/>
              <w:br/>
              <w:t xml:space="preserve">Para minimizar esses impactos, implementaremos as seguintes medidas:</w:t>
              <w:br/>
              <w:t xml:space="preserve"/>
              <w:br/>
              <w:t xml:space="preserve">* **Uso de fontes renováveis de energia**: utilizaremos fontes renováveis de energia para abastecer nossas instalações e reduzir a dependência de combustíveis fósseis.</w:t>
              <w:br/>
              <w:t xml:space="preserve">* **Redução do consumo de água**: implementaremos sistemas de tratamento de água eficientes e reduziremos o consumo de água em 20% ao longo dos próximos 3 anos.</w:t>
              <w:br/>
              <w:t xml:space="preserve">* **Reciclo e reutilização de materiais**: desenvolveremos programas de reciclo e reutilização de materiais para minimizar a geração de resíduos.</w:t>
              <w:br/>
              <w:t xml:space="preserve">* **Transporte eficiente**: utilizaremos veículos elétricos ou híbridos e otimizaremos rotas de transporte para reduzir emissões de gases de efeito estufa.</w:t>
              <w:br/>
              <w:t xml:space="preserve"/>
              <w:br/>
              <w:t xml:space="preserve">**Requisitos de Baixo Consumo**</w:t>
              <w:br/>
              <w:t xml:space="preserve"/>
              <w:br/>
              <w:t xml:space="preserve">Para reduzir o impacto ambiental, implementaremos os seguintes requisitos:</w:t>
              <w:br/>
              <w:t xml:space="preserve"/>
              <w:br/>
              <w:t xml:space="preserve">* **Energia eficiente**: todos os equipamentos e sistemas devem ser projetados e instalados para minimizar a energia necessária.</w:t>
              <w:br/>
              <w:t xml:space="preserve">* **Materiais recicláveis**: apenas materiais recicláveis ou reutilizados serão utilizados na produção dos produtos.</w:t>
              <w:br/>
              <w:t xml:space="preserve">* **Água tratada**: apenas água tratada será utilizada em nossas instalações.</w:t>
              <w:br/>
              <w:t xml:space="preserve"/>
              <w:br/>
              <w:t xml:space="preserve">**Logística Reversa**</w:t>
              <w:br/>
              <w:t xml:space="preserve"/>
              <w:br/>
              <w:t xml:space="preserve">Para minimizar a geração de resíduos e reduzir o impacto ambiental, implementaremos uma logística reversa eficiente:</w:t>
              <w:br/>
              <w:t xml:space="preserve"/>
              <w:br/>
              <w:t xml:space="preserve">* **Programa de reciclo**: desenvolveremos um programa de reciclo para coletar e processar materiais recicláveis.</w:t>
              <w:br/>
              <w:t xml:space="preserve">* **Reutilização de embalagens**: desenvolveremos programas de reutilização de embalagens para minimizar a geração de resíduos.</w:t>
              <w:br/>
              <w:t xml:space="preserve">* **Entrega eficiente**: otimizaremos rotas de entrega e utilizaremos veículos elétricos ou híbridos para reduzir emissões de gases de efeito estufa.</w:t>
              <w:br/>
              <w:t xml:space="preserve"/>
              <w:br/>
              <w:t xml:space="preserve">Além disso, estamos comprometidos em monitorar e avaliar regularmente os nossos impactos ambientais, identificando oportunidades para melhoria contínua e minimizar nossos efeitos negativos sobre o meio ambiente.</w:t>
            </w:r>
          </w:p>
        </w:tc>
      </w:tr>
      <w:tr w:rsidR="005D622A" w14:paraId="72715F84" w14:textId="77777777" w:rsidTr="00E40EE0">
        <w:trPr>
          <w:trHeight w:val="518"/>
        </w:trPr>
        <w:tc>
          <w:tcPr>
            <w:tcW w:w="9980" w:type="dxa"/>
            <w:gridSpan w:val="11"/>
            <w:tcMar>
              <w:top w:w="55" w:type="dxa"/>
              <w:left w:w="55" w:type="dxa"/>
              <w:bottom w:w="55" w:type="dxa"/>
              <w:right w:w="55" w:type="dxa"/>
            </w:tcMar>
          </w:tcPr>
          <w:p w14:paraId="677A17A9"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POSICIONAMENTO CONCLUSIVO SOBRE A ADEQUAÇÃO DA CONTRATAÇÃO PARA O ATENDIMENTO DA </w:t>
            </w:r>
            <w:r>
              <w:rPr>
                <w:rFonts w:ascii="Calibri" w:eastAsia="Calibri" w:hAnsi="Calibri" w:cs="Calibri"/>
                <w:b/>
                <w:sz w:val="22"/>
                <w:szCs w:val="22"/>
              </w:rPr>
              <w:lastRenderedPageBreak/>
              <w:t>NECESSIDADE A QUE SE DESTINA (art. 35, inciso XIII do D1525/2022)</w:t>
            </w:r>
          </w:p>
          <w:p w14:paraId="51EA8C34" w14:textId="77777777" w:rsidR="005D622A" w:rsidRDefault="00C55F56">
            <w:pPr>
              <w:numPr>
                <w:ilvl w:val="1"/>
                <w:numId w:val="1"/>
              </w:numPr>
              <w:pBdr>
                <w:top w:val="nil"/>
                <w:left w:val="nil"/>
                <w:bottom w:val="nil"/>
                <w:right w:val="nil"/>
                <w:between w:val="nil"/>
              </w:pBdr>
              <w:ind w:left="0" w:right="57" w:firstLine="0"/>
              <w:jc w:val="both"/>
            </w:pPr>
            <w:r>
              <w:rPr>
                <w:rFonts w:ascii="Calibri" w:eastAsia="Calibri" w:hAnsi="Calibri" w:cs="Calibri"/>
                <w:color w:val="FF0000"/>
                <w:sz w:val="22"/>
                <w:szCs w:val="22"/>
              </w:rPr>
              <w:t xml:space="preserve">Declaro esta contratação com base neste Estudo Técnico Preliminar, consoante ao Art. 18, inciso I, e §1º, incisos I a XIII, do mesmo artigo, da Lei Federal de Licitações nº 14.133, de 1º de abril de 2021. </w:t>
            </w:r>
          </w:p>
          <w:p w14:paraId="2E11909E" w14:textId="77777777" w:rsidR="005D622A" w:rsidRDefault="00C55F56">
            <w:pPr>
              <w:ind w:right="57"/>
              <w:jc w:val="both"/>
              <w:rPr>
                <w:rFonts w:ascii="Calibri" w:eastAsia="Calibri" w:hAnsi="Calibri" w:cs="Calibri"/>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É VIÁVEL a presente contratação.</w:t>
            </w:r>
          </w:p>
          <w:p w14:paraId="72E5BC30" w14:textId="77777777" w:rsidR="005D622A" w:rsidRDefault="00C55F56">
            <w:pPr>
              <w:ind w:right="57"/>
              <w:jc w:val="both"/>
              <w:rPr>
                <w:rFonts w:ascii="Calibri" w:eastAsia="Calibri" w:hAnsi="Calibri" w:cs="Calibri"/>
                <w:b/>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NÃO É VIÁVEL a presente contratação.</w:t>
            </w:r>
          </w:p>
        </w:tc>
      </w:tr>
      <w:tr w:rsidR="005D622A" w14:paraId="28097C5A" w14:textId="77777777" w:rsidTr="00E40EE0">
        <w:trPr>
          <w:trHeight w:val="518"/>
        </w:trPr>
        <w:tc>
          <w:tcPr>
            <w:tcW w:w="9980" w:type="dxa"/>
            <w:gridSpan w:val="11"/>
            <w:tcMar>
              <w:top w:w="55" w:type="dxa"/>
              <w:left w:w="55" w:type="dxa"/>
              <w:bottom w:w="55" w:type="dxa"/>
              <w:right w:w="55" w:type="dxa"/>
            </w:tcMar>
          </w:tcPr>
          <w:p w14:paraId="026A42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lastRenderedPageBreak/>
              <w:t>LEGISLAÇÃO/FONTES</w:t>
            </w:r>
          </w:p>
          <w:p w14:paraId="417EDE8A"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Lei Federal nº 14.133/2021 - Lei de Licitações e Contratos Administrativos;</w:t>
            </w:r>
          </w:p>
          <w:p w14:paraId="3B2C280E"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Decreto Estadual nº 1.525/2022 - Regulamenta a Lei Federal nº 14.133/2021.</w:t>
            </w:r>
          </w:p>
        </w:tc>
      </w:tr>
      <w:tr w:rsidR="005D622A" w14:paraId="244BDC54" w14:textId="77777777" w:rsidTr="00E40EE0">
        <w:trPr>
          <w:trHeight w:val="518"/>
        </w:trPr>
        <w:tc>
          <w:tcPr>
            <w:tcW w:w="9980" w:type="dxa"/>
            <w:gridSpan w:val="11"/>
            <w:tcMar>
              <w:top w:w="55" w:type="dxa"/>
              <w:left w:w="55" w:type="dxa"/>
              <w:bottom w:w="55" w:type="dxa"/>
              <w:right w:w="55" w:type="dxa"/>
            </w:tcMar>
          </w:tcPr>
          <w:p w14:paraId="0EF445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RESPONSÁVEL PELA ELABORAÇÃO/DATA DE TÉRMINO</w:t>
            </w:r>
          </w:p>
          <w:p w14:paraId="4C13E5E1" w14:textId="77777777" w:rsidR="005D622A" w:rsidRDefault="005D622A">
            <w:pPr>
              <w:ind w:right="57"/>
              <w:jc w:val="both"/>
              <w:rPr>
                <w:rFonts w:ascii="Calibri" w:eastAsia="Calibri" w:hAnsi="Calibri" w:cs="Calibri"/>
                <w:b/>
                <w:sz w:val="22"/>
                <w:szCs w:val="22"/>
              </w:rPr>
            </w:pPr>
          </w:p>
          <w:p w14:paraId="3266BE15" w14:textId="4B387C9D" w:rsidR="005D622A" w:rsidRDefault="00C55F56">
            <w:pPr>
              <w:ind w:right="57"/>
              <w:jc w:val="right"/>
              <w:rPr>
                <w:rFonts w:ascii="Calibri" w:eastAsia="Calibri" w:hAnsi="Calibri" w:cs="Calibri"/>
                <w:sz w:val="22"/>
                <w:szCs w:val="22"/>
              </w:rPr>
            </w:pPr>
            <w:r>
              <w:rPr>
                <w:rFonts w:ascii="Calibri" w:eastAsia="Calibri" w:hAnsi="Calibri" w:cs="Calibri"/>
                <w:sz w:val="22"/>
                <w:szCs w:val="22"/>
              </w:rPr>
              <w:t xml:space="preserve">Cuiabá-MT, </w:t>
            </w:r>
            <w:proofErr w:type="gramStart"/>
            <w:r w:rsidR="00875DE7" w:rsidRPr="00875DE7">
              <w:rPr>
                <w:rFonts w:ascii="Calibri" w:eastAsia="Calibri" w:hAnsi="Calibri" w:cs="Calibri"/>
                <w:color w:val="EE0000"/>
                <w:sz w:val="22"/>
                <w:szCs w:val="22"/>
              </w:rPr>
              <w:t xml:space="preserve">09 de September de 2025</w:t>
            </w:r>
            <w:r w:rsidRPr="00875DE7">
              <w:rPr>
                <w:rFonts w:ascii="Calibri" w:eastAsia="Calibri" w:hAnsi="Calibri" w:cs="Calibri"/>
                <w:sz w:val="22"/>
                <w:szCs w:val="22"/>
              </w:rPr>
              <w:t>.</w:t>
            </w:r>
          </w:p>
          <w:p w14:paraId="2A970133" w14:textId="477D8D06" w:rsidR="005D622A" w:rsidRDefault="00C55F56">
            <w:pPr>
              <w:ind w:right="57"/>
              <w:rPr>
                <w:rFonts w:ascii="Calibri" w:eastAsia="Calibri" w:hAnsi="Calibri" w:cs="Calibri"/>
                <w:b/>
                <w:sz w:val="22"/>
                <w:szCs w:val="22"/>
                <w:highlight w:val="yellow"/>
              </w:rPr>
            </w:pPr>
            <w:r>
              <w:rPr>
                <w:rFonts w:ascii="Calibri" w:eastAsia="Calibri" w:hAnsi="Calibri" w:cs="Calibri"/>
                <w:sz w:val="22"/>
                <w:szCs w:val="22"/>
              </w:rPr>
              <w:t xml:space="preserve">Elaborado por:</w:t>
            </w:r>
            <w:r>
              <w:rPr>
                <w:rFonts w:ascii="Calibri" w:eastAsia="Calibri" w:hAnsi="Calibri" w:cs="Calibri"/>
                <w:b/>
                <w:sz w:val="22"/>
                <w:szCs w:val="22"/>
              </w:rPr>
              <w:t xml:space="preserve"> </w:t>
            </w:r>
            <w:proofErr w:type="gramStart"/>
            <w:r w:rsidR="00875DE7" w:rsidRPr="00875DE7">
              <w:rPr>
                <w:rFonts w:ascii="Calibri" w:eastAsia="Calibri" w:hAnsi="Calibri" w:cs="Calibri"/>
                <w:b/>
                <w:color w:val="EE0000"/>
                <w:sz w:val="22"/>
                <w:szCs w:val="22"/>
              </w:rPr>
              <w:t xml:space="preserve">XXXXXXXXX</w:t>
            </w:r>
          </w:p>
          <w:p w14:paraId="7E15C5A2" w14:textId="0E296D88" w:rsidR="005D622A" w:rsidRDefault="00C55F56">
            <w:pPr>
              <w:ind w:right="57"/>
              <w:rPr>
                <w:rFonts w:ascii="Calibri" w:eastAsia="Calibri" w:hAnsi="Calibri" w:cs="Calibri"/>
                <w:b/>
                <w:sz w:val="22"/>
                <w:szCs w:val="22"/>
                <w:highlight w:val="yellow"/>
              </w:rPr>
            </w:pPr>
            <w:bookmarkStart w:id="0" w:name="_heading=h.gjdgxs" w:colFirst="0" w:colLast="0"/>
            <w:bookmarkEnd w:id="0"/>
            <w:r>
              <w:rPr>
                <w:rFonts w:ascii="Calibri" w:eastAsia="Calibri" w:hAnsi="Calibri" w:cs="Calibri"/>
                <w:sz w:val="22"/>
                <w:szCs w:val="22"/>
              </w:rPr>
              <w:t xml:space="preserve">Matrícula: </w:t>
            </w:r>
            <w:proofErr w:type="gramStart"/>
            <w:r w:rsidR="00875DE7" w:rsidRPr="00875DE7">
              <w:rPr>
                <w:rFonts w:ascii="Calibri" w:eastAsia="Calibri" w:hAnsi="Calibri" w:cs="Calibri"/>
                <w:color w:val="EE0000"/>
                <w:sz w:val="22"/>
                <w:szCs w:val="22"/>
              </w:rPr>
              <w:t xml:space="preserve">XXXXXX</w:t>
            </w:r>
          </w:p>
        </w:tc>
      </w:tr>
    </w:tbl>
    <w:p w14:paraId="0D503B64" w14:textId="77777777" w:rsidR="005D622A" w:rsidRDefault="005D622A">
      <w:pPr>
        <w:rPr>
          <w:rFonts w:ascii="Calibri" w:eastAsia="Calibri" w:hAnsi="Calibri" w:cs="Calibri"/>
          <w:color w:val="000000"/>
          <w:sz w:val="22"/>
          <w:szCs w:val="22"/>
        </w:rPr>
      </w:pPr>
    </w:p>
    <w:sectPr w:rsidR="005D622A">
      <w:pgSz w:w="11906" w:h="16838"/>
      <w:pgMar w:top="1133" w:right="1134" w:bottom="794" w:left="1134" w:header="28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D9B"/>
    <w:multiLevelType w:val="multilevel"/>
    <w:tmpl w:val="3F5E4AD2"/>
    <w:lvl w:ilvl="0">
      <w:start w:val="1"/>
      <w:numFmt w:val="decimal"/>
      <w:lvlText w:val="%1."/>
      <w:lvlJc w:val="left"/>
      <w:pPr>
        <w:ind w:left="360" w:hanging="360"/>
      </w:pPr>
      <w:rPr>
        <w:b/>
      </w:rPr>
    </w:lvl>
    <w:lvl w:ilvl="1">
      <w:start w:val="1"/>
      <w:numFmt w:val="decimal"/>
      <w:lvlText w:val="%1.%2."/>
      <w:lvlJc w:val="left"/>
      <w:pPr>
        <w:ind w:left="360" w:hanging="360"/>
      </w:pPr>
      <w:rPr>
        <w:rFonts w:ascii="Calibri" w:eastAsia="Calibri" w:hAnsi="Calibri" w:cs="Calibri"/>
        <w:b w:val="0"/>
        <w:sz w:val="22"/>
        <w:szCs w:val="22"/>
      </w:rPr>
    </w:lvl>
    <w:lvl w:ilvl="2">
      <w:start w:val="1"/>
      <w:numFmt w:val="decimal"/>
      <w:lvlText w:val="%1.%2.%3."/>
      <w:lvlJc w:val="left"/>
      <w:pPr>
        <w:ind w:left="720" w:hanging="720"/>
      </w:pPr>
      <w:rPr>
        <w:rFonts w:ascii="Calibri" w:eastAsia="Calibri" w:hAnsi="Calibri" w:cs="Calibri"/>
        <w:b w:val="0"/>
        <w:sz w:val="22"/>
        <w:szCs w:val="22"/>
      </w:rPr>
    </w:lvl>
    <w:lvl w:ilvl="3">
      <w:start w:val="1"/>
      <w:numFmt w:val="decimal"/>
      <w:lvlText w:val="%1.%2.%3.%4."/>
      <w:lvlJc w:val="left"/>
      <w:pPr>
        <w:ind w:left="720" w:hanging="720"/>
      </w:pPr>
      <w:rPr>
        <w:b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6B259BC"/>
    <w:multiLevelType w:val="multilevel"/>
    <w:tmpl w:val="8AE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6888">
    <w:abstractNumId w:val="0"/>
  </w:num>
  <w:num w:numId="2" w16cid:durableId="64266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A"/>
    <w:rsid w:val="000570FE"/>
    <w:rsid w:val="000F1E0A"/>
    <w:rsid w:val="00202859"/>
    <w:rsid w:val="0033074C"/>
    <w:rsid w:val="00410C8F"/>
    <w:rsid w:val="00484B7F"/>
    <w:rsid w:val="005D622A"/>
    <w:rsid w:val="00852446"/>
    <w:rsid w:val="00875DE7"/>
    <w:rsid w:val="008B167B"/>
    <w:rsid w:val="00954935"/>
    <w:rsid w:val="00992870"/>
    <w:rsid w:val="00AA2652"/>
    <w:rsid w:val="00B67DF2"/>
    <w:rsid w:val="00BA2847"/>
    <w:rsid w:val="00C55F56"/>
    <w:rsid w:val="00CB659F"/>
    <w:rsid w:val="00CF0F62"/>
    <w:rsid w:val="00E40EE0"/>
    <w:rsid w:val="00F13229"/>
    <w:rsid w:val="00F634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7A2"/>
  <w15:docId w15:val="{BEEA5109-722B-4776-A318-C8925DA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spacing w:before="200" w:after="120"/>
      <w:ind w:left="576" w:hanging="576"/>
      <w:outlineLvl w:val="1"/>
    </w:pPr>
    <w:rPr>
      <w:rFonts w:ascii="Arial" w:eastAsia="Arial" w:hAnsi="Arial" w:cs="Arial"/>
      <w:b/>
      <w:sz w:val="32"/>
      <w:szCs w:val="32"/>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left w:w="70" w:type="dxa"/>
        <w:right w:w="70" w:type="dxa"/>
      </w:tblCellMar>
    </w:tblPr>
  </w:style>
  <w:style w:type="paragraph" w:styleId="Pr-formataoHTML">
    <w:name w:val="HTML Preformatted"/>
    <w:basedOn w:val="Normal"/>
    <w:link w:val="Pr-formataoHTMLChar"/>
    <w:uiPriority w:val="99"/>
    <w:semiHidden/>
    <w:unhideWhenUsed/>
    <w:rsid w:val="00AA2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AA2652"/>
    <w:rPr>
      <w:rFonts w:ascii="Courier New" w:hAnsi="Courier New" w:cs="Courier New"/>
      <w:sz w:val="20"/>
      <w:szCs w:val="20"/>
    </w:rPr>
  </w:style>
  <w:style w:type="character" w:styleId="CdigoHTML">
    <w:name w:val="HTML Code"/>
    <w:basedOn w:val="Fontepargpadro"/>
    <w:uiPriority w:val="99"/>
    <w:semiHidden/>
    <w:unhideWhenUsed/>
    <w:rsid w:val="00AA2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7658">
      <w:marLeft w:val="0"/>
      <w:marRight w:val="0"/>
      <w:marTop w:val="0"/>
      <w:marBottom w:val="0"/>
      <w:divBdr>
        <w:top w:val="none" w:sz="0" w:space="0" w:color="auto"/>
        <w:left w:val="none" w:sz="0" w:space="0" w:color="auto"/>
        <w:bottom w:val="none" w:sz="0" w:space="0" w:color="auto"/>
        <w:right w:val="none" w:sz="0" w:space="0" w:color="auto"/>
      </w:divBdr>
      <w:divsChild>
        <w:div w:id="869999635">
          <w:marLeft w:val="0"/>
          <w:marRight w:val="0"/>
          <w:marTop w:val="0"/>
          <w:marBottom w:val="0"/>
          <w:divBdr>
            <w:top w:val="none" w:sz="0" w:space="0" w:color="auto"/>
            <w:left w:val="none" w:sz="0" w:space="0" w:color="auto"/>
            <w:bottom w:val="none" w:sz="0" w:space="0" w:color="auto"/>
            <w:right w:val="none" w:sz="0" w:space="0" w:color="auto"/>
          </w:divBdr>
          <w:divsChild>
            <w:div w:id="175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XuorL4vK/nFdcHZoqZ5QIfe5g==">CgMxLjAyCGguZ2pkZ3hzOAByITFVUEd0MWxuUUwxQzFCNm1wbU9JdU9qcU9FZjNzTnRmdw==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970</Words>
  <Characters>5244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Freitas de Magalhaes</dc:creator>
  <cp:lastModifiedBy>Pedro Henrique Simoes da Silva</cp:lastModifiedBy>
  <cp:revision>13</cp:revision>
  <dcterms:created xsi:type="dcterms:W3CDTF">2025-06-09T18:54:00Z</dcterms:created>
  <dcterms:modified xsi:type="dcterms:W3CDTF">2025-09-09T13:25:00Z</dcterms:modified>
  <dc:description/>
  <dc:identifier/>
  <dc:language/>
  <dc:subject/>
  <dc:title/>
</cp:coreProperties>
</file>