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User Manual for GUI: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>Map System: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>1. Add bins: double click an empty cell.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 xml:space="preserve">2. Delete bins: right click a non-empty cell and click 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>delete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option on the shown popup.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>3. Move bins: drag the bins around; if the coordinate gets red, it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s not allow to move the bins.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 xml:space="preserve">4. Locate bins: </w:t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  <w:lang w:val="en-US"/>
        </w:rPr>
        <w:t>right click and choose Locate Bins. Then enter the item ID for searching. To cancel it, right click and choose Cancel Locate.</w:t>
      </w:r>
    </w:p>
    <w:p>
      <w:pPr>
        <w:pStyle w:val="Body"/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>5. Check Details: double click a non-empty cell.</w:t>
      </w:r>
    </w:p>
    <w:p>
      <w:pPr>
        <w:pStyle w:val="Body"/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rtl w:val="0"/>
        </w:rPr>
        <w:tab/>
        <w:t>NOTE: Do not move the bins out of the map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0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