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CS2 Win-Probability Model</w:t>
      </w:r>
    </w:p>
    <w:p>
      <w:pPr>
        <w:jc w:val="center"/>
      </w:pPr>
      <w:r>
        <w:rPr>
          <w:b/>
          <w:sz w:val="28"/>
        </w:rPr>
        <w:t>Two-Day Progress Summary</w:t>
      </w:r>
    </w:p>
    <w:p>
      <w:pPr>
        <w:jc w:val="center"/>
      </w:pPr>
      <w:r>
        <w:rPr>
          <w:color w:val="555555"/>
          <w:sz w:val="19"/>
        </w:rPr>
        <w:t>For the project partner  ·  Henry (UPenn WSABI)  ·  2026-06-16 → 2026-06-18</w:t>
        <w:br/>
        <w:t>de_inferno  ·  live per-second round win-probability  ·  arXiv + MLSA 2027</w:t>
      </w:r>
    </w:p>
    <w:p/>
    <w:p>
      <w:pPr>
        <w:pStyle w:val="Heading1"/>
      </w:pPr>
      <w:r>
        <w:rPr>
          <w:color w:val="B02A2A"/>
        </w:rPr>
        <w:t>1. One-paragraph recap</w:t>
      </w:r>
    </w:p>
    <w:p>
      <w:r>
        <w:t>We are building a live, per-second CS2 round win-probability model for de_inferno that augments the established economy baseline (Xenopoulos/ESTA-style) with novel spatial feature pillars — Voronoi map control, line-of-sight/territory control, and tactical readiness — evaluated rigorously across model architectures. Over these two days the project went from a small pilot to an at-scale, fully-evaluated study: 220 pro demos / 476,595 per-second snapshots, three competing map-control formulations, a five-architecture model matrix with bootstrap confidence intervals, calibration testing, interpretability, and qualitative case studies. The headline scientific result is honest and defensible: map control adds a small but statistically robust lift overall (~+0.003 AUC), concentrated in genuinely contested rounds (~+0.013) where the economy baseline collapses to a coin flip.</w:t>
      </w:r>
    </w:p>
    <w:p>
      <w:pPr>
        <w:pStyle w:val="Heading1"/>
      </w:pPr>
      <w:r>
        <w:rPr>
          <w:color w:val="B02A2A"/>
        </w:rPr>
        <w:t>2. Dataset &amp; pipeline</w:t>
      </w:r>
    </w:p>
    <w:p>
      <w:pPr>
        <w:pStyle w:val="ListBullet"/>
      </w:pPr>
      <w:r>
        <w:t>220 Tier-1 de_inferno demos, de-duplicated and tier-filtered. Parsed with awpy v2.0.2, tickrate forced to 64.</w:t>
      </w:r>
    </w:p>
    <w:p>
      <w:pPr>
        <w:pStyle w:val="ListBullet"/>
      </w:pPr>
      <w:r>
        <w:t>476,595 snapshots, one row per second from freeze-end to round end; label ct_won (base rate 0.445). Grouped by match_id for cross-validation (never split a match).</w:t>
      </w:r>
    </w:p>
    <w:p>
      <w:pPr>
        <w:pStyle w:val="ListBullet"/>
      </w:pPr>
      <w:r>
        <w:t>Five parquet channels per demo (ticks/kills/rounds/bomb/smokes). Memory-guarded parsing (~6.7 GB/demo peak on a 16.8 GB laptop).</w:t>
      </w:r>
    </w:p>
    <w:p>
      <w:pPr>
        <w:pStyle w:val="ListBullet"/>
      </w:pPr>
      <w:r>
        <w:t>Pillars implemented: (1) economy/combat, (2) map control — 3 variants, (4) tactical + bomb/rotation. Pillar (3) firepower is the main remaining gap.</w:t>
      </w:r>
    </w:p>
    <w:p>
      <w:pPr>
        <w:pStyle w:val="Heading1"/>
      </w:pPr>
      <w:r>
        <w:rPr>
          <w:color w:val="B02A2A"/>
        </w:rPr>
        <w:t>3. The three map-control models (core contribution)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Model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Definition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Verdict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Voronoi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Each nav area → nearest living player's team (area-weighted). Greedy/total.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Best single predictor; KEPT. Robustly significant in linear and nonlinear models.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Grey (LOS+FOV+smoke)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Area held only if a living player is in range AND has line-of-sight AND is facing it AND it isn't smoked. ~60-80% of map is 'grey' at any instant.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NEGATIVE result. Physically faithful but flickers tick-to-tick; does not beat Voronoi.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Territory (memory+decay)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Grey model WITH memory: cleared space stays a team's for 15 s without re-checking; FOV only gates re-acquiring. Stateful per round.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Recovers Voronoi-level predictiveness.</w:t>
            </w:r>
          </w:p>
        </w:tc>
      </w:tr>
    </w:tbl>
    <w:p>
      <w:r>
        <w:rPr>
          <w:b/>
        </w:rPr>
        <w:t xml:space="preserve">Key insight — 'realistic ≠ predictive unless stabilized.' </w:t>
      </w:r>
      <w:r>
        <w:t>The instantaneous, physically correct sightline model is a worse predictor than crude proximity, because round outcomes depend on stable territorial state, not on where 10 crosshairs point this tick. Memory/decay fixes the flicker and restores the signal — a clean, publishable finding. All three models are retained for the ablation.</w:t>
      </w:r>
    </w:p>
    <w:p>
      <w:pPr>
        <w:pStyle w:val="Heading1"/>
      </w:pPr>
      <w:r>
        <w:rPr>
          <w:color w:val="B02A2A"/>
        </w:rPr>
        <w:t>4. Model matrix — 5 architectures × {A, E, ET}</w:t>
      </w:r>
    </w:p>
    <w:p>
      <w:r>
        <w:t>5-fold GroupKFold OOF; primary metric AUC; B=500 match-level block bootstrap. A = economy only; E = economy + Voronoi + tactical/bomb; ET = E + territory.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9"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A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E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ET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Lift E−A (95% CI)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ECE (E)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9"/>
              </w:rPr>
              <w:t>Logistic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0.8465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0.8493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0.8493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+0.0028 (+0.0014, +0.0042)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0.016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9"/>
              </w:rPr>
              <w:t>XGBoost (tuned)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0.8443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0.8476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0.8480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+0.0034 (+0.0020, +0.0047)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0.012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9"/>
              </w:rPr>
              <w:t>LightGBM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0.8448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0.8479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0.8476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+0.0031 (+0.0018, +0.0042)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0.014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9"/>
              </w:rPr>
              <w:t>CatBoost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0.8448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0.8478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0.8474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+0.0030 (+0.0018, +0.0043)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0.011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9"/>
              </w:rPr>
              <w:t>Random Forest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0.8228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0.8426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0.8428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+0.0198 (+0.0165, +0.0228)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0.011</w:t>
            </w:r>
          </w:p>
        </w:tc>
      </w:tr>
    </w:tbl>
    <w:p>
      <w:pPr>
        <w:pStyle w:val="ListBullet"/>
      </w:pPr>
      <w:r>
        <w:t>Every model, every feature set: the control lift is statistically significant (all bootstrap CIs exclude 0; DeLong p ≈ 0).</w:t>
      </w:r>
    </w:p>
    <w:p>
      <w:pPr>
        <w:pStyle w:val="ListBullet"/>
      </w:pPr>
      <w:r>
        <w:t>The four well-specified models agree on the honest magnitude: ~+0.003 AUC. ET ≈ E everywhere → territory is redundant with Voronoi.</w:t>
      </w:r>
    </w:p>
    <w:p>
      <w:pPr>
        <w:pStyle w:val="ListBullet"/>
      </w:pPr>
      <w:r>
        <w:t>Logistic regression is the best model (0.8493) and ties the GBMs → the signal is essentially linear; the gradient-boosted models are interchangeable.</w:t>
      </w:r>
    </w:p>
    <w:p>
      <w:pPr>
        <w:pStyle w:val="ListBullet"/>
      </w:pPr>
      <w:r>
        <w:t>Random Forest is the cautionary cell: its economy baseline underfits (0.8228, ECE 0.042), so control 'helps' a huge +0.0198 and fixes calibration — a weak-baseline artifact, not extra signal. This is why we report the lift across architectures, not from one model.</w:t>
      </w:r>
    </w:p>
    <w:p>
      <w:pPr>
        <w:pStyle w:val="Heading1"/>
      </w:pPr>
      <w:r>
        <w:rPr>
          <w:color w:val="B02A2A"/>
        </w:rPr>
        <w:t>5. Metrics — primary + a metric that tells the honest story</w:t>
      </w:r>
    </w:p>
    <w:p>
      <w:pPr>
        <w:pStyle w:val="ListBullet"/>
      </w:pPr>
      <w:r>
        <w:t>Primary (literature-comparable): AUC-ROC, log-loss, Brier.</w:t>
      </w:r>
    </w:p>
    <w:p>
      <w:pPr>
        <w:pStyle w:val="ListBullet"/>
      </w:pPr>
      <w:r>
        <w:t>Complementary (now standard harness outputs): ECE (calibration), BSS (Brier Skill Score), and contested-AUC (cAUC) — AUC on genuinely contested snapshots (equal players alive AND |equip diff| ≤ 1500; 58,368 snapshots).</w:t>
      </w:r>
    </w:p>
    <w:p>
      <w:r>
        <w:rPr>
          <w:b/>
        </w:rPr>
        <w:t xml:space="preserve">Why cAUC matters: </w:t>
      </w:r>
      <w:r>
        <w:t>overall AUC is dominated by easy lopsided snapshots that economy already nails, diluting the spatial signal and making the aggregate lift look tiny (+0.003). A better metric will NOT inflate that — it is genuinely small on average. But cAUC reports the lift where it matters: in even rounds the economy baseline's own AUC collapses from ~0.85 to ~0.58 (near coin-flip). That is the honest and stronger framing for the paper.</w:t>
      </w:r>
    </w:p>
    <w:p>
      <w:pPr>
        <w:pStyle w:val="Heading1"/>
      </w:pPr>
      <w:r>
        <w:rPr>
          <w:color w:val="B02A2A"/>
        </w:rPr>
        <w:t>6. Where map control matters — conditional analysis</w:t>
      </w:r>
    </w:p>
    <w:p>
      <w:pPr>
        <w:pStyle w:val="ListBullet"/>
      </w:pPr>
      <w:r>
        <w:t>Economy baseline collapses in even rounds: all 0.832 → equal-alive 0.686 → even-econ 0.674 → equal-alive AND even-econ 0.578 (~coin flip).</w:t>
      </w:r>
    </w:p>
    <w:p>
      <w:pPr>
        <w:pStyle w:val="ListBullet"/>
      </w:pPr>
      <w:r>
        <w:t>Map-control lift is larger where it matters: equal-alive E−A = +0.0131 vs +0.009 overall; even-econ +0.0107; pre-plant +0.0103.</w:t>
      </w:r>
    </w:p>
    <w:p>
      <w:pPr>
        <w:pStyle w:val="ListBullet"/>
      </w:pPr>
      <w:r>
        <w:t>The signal is nonlinear in the hardest subsets — XGBoost extracts the contested lift, logistic gets ~0 there (logistic wins easy snapshots, XGBoost wins where it's hard).</w:t>
      </w:r>
    </w:p>
    <w:p>
      <w:pPr>
        <w:pStyle w:val="Heading1"/>
      </w:pPr>
      <w:r>
        <w:rPr>
          <w:color w:val="B02A2A"/>
        </w:rPr>
        <w:t>7. Interpretability — what the model learned</w:t>
      </w:r>
    </w:p>
    <w:p>
      <w:r>
        <w:t>Standardized logistic coefficients (z-scored inputs ⇒ magnitude = effect size, sign = direction toward CT win). Signs all sensible; the relative scale is the real story — economy dominates, map control is real but second-order:</w:t>
      </w:r>
    </w:p>
    <w:p>
      <w:pPr>
        <w:pStyle w:val="ListBullet"/>
      </w:pPr>
      <w:r>
        <w:t>Economy/combat dominate (set A, ~0.5–0.9): t_players_alive −0.89, ct_health_total +0.74, ct_equipment_value +0.72, t_equipment_value −0.61, bomb_planted −0.51; plus the single largest term min_ct_dist_to_bomb −0.78 (CTs far from bomb = retake = bad).</w:t>
      </w:r>
    </w:p>
    <w:p>
      <w:pPr>
        <w:pStyle w:val="ListBullet"/>
      </w:pPr>
      <w:r>
        <w:t>Map control fit on its own ≈ +0.11 (Voronoi control_deficit) — the strongest non-economy/non-bomb signal, but ~5–8× smaller than economy.</w:t>
      </w:r>
    </w:p>
    <w:p>
      <w:pPr>
        <w:pStyle w:val="ListBullet"/>
      </w:pPr>
      <w:r>
        <w:t>Voronoi vs territory, fit separately: Voronoi deficit +0.115 vs territory deficit +0.066 — territory is directionally the same but about half as strong, and the two are only moderately correlated (r = 0.47). Territory is a related-but-noisier proxy, redundant with Voronoi at the AUC level (ET ≈ E), not an identical or stronger signal.</w:t>
      </w:r>
    </w:p>
    <w:p>
      <w:pPr>
        <w:pStyle w:val="ListBullet"/>
      </w:pPr>
      <w:r>
        <w:t>Caveat: coefficients inside the full model are collinearity-inflated (control_deficit shows +0.27 there only because a duplicate column splits the weight) — the standalone fits above are the trustworthy effect sizes.</w:t>
      </w:r>
    </w:p>
    <w:p>
      <w:pPr>
        <w:pStyle w:val="Heading1"/>
      </w:pPr>
      <w:r>
        <w:rPr>
          <w:color w:val="B02A2A"/>
        </w:rPr>
        <w:t>8. Qualitative case studies — map control flipping the call</w:t>
      </w:r>
    </w:p>
    <w:p>
      <w:r>
        <w:rPr>
          <w:b/>
        </w:rPr>
        <w:t xml:space="preserve">Headline example — b8 vs FlyQuest (map 3), round 12, a 4-v-4 with even economy: </w:t>
      </w:r>
      <w:r>
        <w:t>the economy-only model hugs 0.50 (a coin flip) for the entire round, but the map-control model consistently and correctly pulls toward T, who won (peak shift −22% at t+50 s). This single figure makes the contested-AUC number concrete: economy is blind in even rounds; control sees the read. Two more examples are included, each with a win-probability timeline plus the 3-model map at the key moment.</w:t>
      </w:r>
    </w:p>
    <w:p>
      <w:pPr>
        <w:pStyle w:val="Heading1"/>
      </w:pPr>
      <w:r>
        <w:rPr>
          <w:color w:val="B02A2A"/>
        </w:rPr>
        <w:t>9. Calibration — are the probabilities honest?</w:t>
      </w:r>
    </w:p>
    <w:p>
      <w:r>
        <w:t>A reliability diagram with per-bin bootstrap error bars and a bootstrap 95% CI on ECE (resampling whole matches, B=200). Result: all non-RF models are well-calibrated (ECE &lt; 0.02) — 'the model said 70%' really means CT won ~70% of the time. This is now a standard, repeatable check, not a one-off.</w:t>
      </w:r>
    </w:p>
    <w:p>
      <w:pPr>
        <w:pStyle w:val="Heading1"/>
      </w:pPr>
      <w:r>
        <w:rPr>
          <w:color w:val="B02A2A"/>
        </w:rPr>
        <w:t>10. Evaluation protocol</w:t>
      </w:r>
    </w:p>
    <w:p>
      <w:pPr>
        <w:pStyle w:val="ListBullet"/>
      </w:pPr>
      <w:r>
        <w:t>5-fold GroupKFold by match — never split a match (avoids leakage that inflates AUC).</w:t>
      </w:r>
    </w:p>
    <w:p>
      <w:pPr>
        <w:pStyle w:val="ListBullet"/>
      </w:pPr>
      <w:r>
        <w:t>DeLong's test for each feature set vs the economy baseline on identical OOF predictions.</w:t>
      </w:r>
    </w:p>
    <w:p>
      <w:pPr>
        <w:pStyle w:val="ListBullet"/>
      </w:pPr>
      <w:r>
        <w:t>Match-level block bootstrap (matches are the independent unit), B=500; a difference CI excluding 0 ⇒ significant.</w:t>
      </w:r>
    </w:p>
    <w:p>
      <w:pPr>
        <w:pStyle w:val="ListBullet"/>
      </w:pPr>
      <w:r>
        <w:t>Time-window analysis at 5/10/15/20/25 s for the control-signal-emergence story.</w:t>
      </w:r>
    </w:p>
    <w:p>
      <w:pPr>
        <w:pStyle w:val="ListBullet"/>
      </w:pPr>
      <w:r>
        <w:t>Held out for the end: a 2026 out-of-time test set, touched once, kept uncontaminated.</w:t>
      </w:r>
    </w:p>
    <w:p>
      <w:pPr>
        <w:pStyle w:val="Heading1"/>
      </w:pPr>
      <w:r>
        <w:rPr>
          <w:color w:val="B02A2A"/>
        </w:rPr>
        <w:t>11. Repo map &amp; reproduction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Area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Files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Features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src/features/{economy,mapcontrol,positional,bomb,assemble}.py, visibility.py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Models / eval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src/models/{train_pipeline,calibration,conditional_analysis,tune_xgb,logistic_coefficients}.py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Visualization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src/viz/{mapcontrol_viz,control_shift_examples,winprob_chart}.py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Docs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docs/methodology.md (full protocol + every result), docs/map_control_models.md</w:t>
            </w:r>
          </w:p>
        </w:tc>
      </w:tr>
    </w:tbl>
    <w:p>
      <w:r>
        <w:rPr>
          <w:b/>
        </w:rPr>
        <w:t xml:space="preserve">Reproduce the headline table:  </w:t>
      </w:r>
      <w:r>
        <w:rPr>
          <w:rFonts w:ascii="Consolas" w:hAnsi="Consolas"/>
          <w:sz w:val="18"/>
        </w:rPr>
        <w:t>python src/models/train_pipeline.py --models logreg,xgb,rf,lgbm,catboost --sets A,E,ET --bootstrap 500</w:t>
      </w:r>
    </w:p>
    <w:p>
      <w:r>
        <w:rPr>
          <w:i/>
        </w:rPr>
        <w:t>Note: figures live in outputs/figures/ and are git-ignored (regenerable from the scripts above). The parsed dataset and demos are shared separately, not in git. Ask if you want a specific figure committed.</w:t>
      </w:r>
    </w:p>
    <w:p>
      <w:pPr>
        <w:pStyle w:val="Heading1"/>
      </w:pPr>
      <w:r>
        <w:rPr>
          <w:color w:val="B02A2A"/>
        </w:rPr>
        <w:t>12. Open items / next steps</w:t>
      </w:r>
    </w:p>
    <w:p>
      <w:pPr>
        <w:pStyle w:val="ListBullet"/>
      </w:pPr>
      <w:r>
        <w:t>Pillar 3 — firepower (per-player rating/aim stats): clearest remaining lever; needs an HLTV per-player scrape + name mapping (manual, ToS-limited).</w:t>
      </w:r>
    </w:p>
    <w:p>
      <w:pPr>
        <w:pStyle w:val="ListBullet"/>
      </w:pPr>
      <w:r>
        <w:t>Deep models on E — GAT / TCN / Transformer / ensemble (cloud A100), mean ± std over 20 seeds; the laptop covers the classical matrix.</w:t>
      </w:r>
    </w:p>
    <w:p>
      <w:pPr>
        <w:pStyle w:val="ListBullet"/>
      </w:pPr>
      <w:r>
        <w:t>2026 out-of-time holdout — final generalization check.</w:t>
      </w:r>
    </w:p>
    <w:p>
      <w:pPr>
        <w:pStyle w:val="ListBullet"/>
      </w:pPr>
      <w:r>
        <w:t>Honest positioning: small aggregate lift, robustly significant, concentrated in contested rounds; the three-control-model ablation + calibration + contested-AUC story are the methodological contributions even if the raw AUC gain is modest.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