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
        <w:jc w:val="center"/>
      </w:pPr>
      <w:r>
        <w:rPr>
          <w:rFonts w:ascii="Arial" w:cs="Arial" w:eastAsia="Arial" w:hAnsi="Arial"/>
          <w:b/>
          <w:bCs/>
          <w:color w:val="0A2342"/>
          <w:sz w:val="72"/>
          <w:szCs w:val="72"/>
        </w:rPr>
        <w:t>THALASSOS</w:t>
      </w:r>
    </w:p>
    <w:p>
      <w:pPr>
        <w:spacing w:after="40"/>
        <w:jc w:val="center"/>
      </w:pPr>
      <w:r>
        <w:rPr>
          <w:rFonts w:ascii="Arial" w:cs="Arial" w:eastAsia="Arial" w:hAnsi="Arial"/>
          <w:i/>
          <w:iCs/>
          <w:color w:val="007B8A"/>
          <w:sz w:val="32"/>
          <w:szCs w:val="32"/>
        </w:rPr>
        <w:t>Planetary Hydrogeological Intelligence</w:t>
      </w:r>
    </w:p>
    <w:p>
      <w:pPr>
        <w:spacing w:after="60"/>
      </w:pPr>
    </w:p>
    <w:p>
      <w:pPr>
        <w:pBdr>
          <w:bottom w:val="single" w:color="007B8A" w:sz="8" w:space="4"/>
        </w:pBdr>
        <w:spacing w:after="60"/>
        <w:jc w:val="center"/>
      </w:pPr>
    </w:p>
    <w:p>
      <w:pPr>
        <w:spacing w:after="60"/>
      </w:pPr>
    </w:p>
    <w:p>
      <w:pPr>
        <w:spacing w:after="60"/>
        <w:jc w:val="center"/>
      </w:pPr>
      <w:r>
        <w:rPr>
          <w:rFonts w:ascii="Arial" w:cs="Arial" w:eastAsia="Arial" w:hAnsi="Arial"/>
          <w:b/>
          <w:bCs/>
          <w:color w:val="007B8A"/>
          <w:sz w:val="52"/>
          <w:szCs w:val="52"/>
        </w:rPr>
      </w:r>
    </w:p>
    <w:p>
      <w:pPr>
        <w:spacing w:after="400"/>
        <w:jc w:val="center"/>
      </w:pPr>
      <w:r>
        <w:rPr>
          <w:rFonts w:ascii="Arial" w:cs="Arial" w:eastAsia="Arial" w:hAnsi="Arial"/>
          <w:color w:val="444444"/>
          <w:sz w:val="26"/>
          <w:szCs w:val="26"/>
        </w:rPr>
        <w:t>A Two-Phase System for Zero-Cost Groundwater Risk Screening</w:t>
      </w:r>
    </w:p>
    <w:p>
      <w:pPr>
        <w:spacing w:after="400"/>
      </w:pPr>
    </w:p>
    <w:p>
      <w:pPr>
        <w:spacing w:after="80"/>
        <w:jc w:val="center"/>
      </w:pPr>
      <w:r>
        <w:rPr>
          <w:rFonts w:ascii="Arial" w:cs="Arial" w:eastAsia="Arial" w:hAnsi="Arial"/>
          <w:b/>
          <w:bCs/>
          <w:color w:val="0A2342"/>
          <w:sz w:val="24"/>
          <w:szCs w:val="24"/>
        </w:rPr>
        <w:t>Founded by Taha &amp; Dhruvin</w:t>
      </w:r>
    </w:p>
    <w:p>
      <w:pPr>
        <w:spacing w:after="80"/>
        <w:jc w:val="center"/>
      </w:pPr>
      <w:r>
        <w:rPr>
          <w:rFonts w:ascii="Arial" w:cs="Arial" w:eastAsia="Arial" w:hAnsi="Arial"/>
          <w:color w:val="444444"/>
          <w:sz w:val="20"/>
          <w:szCs w:val="20"/>
        </w:rPr>
        <w:t>Version 1.0 · May 2026 · Confidential</w:t>
      </w:r>
    </w:p>
    <w:p>
      <w:r/>
    </w:p>
    <w:p>
      <w:pPr>
        <w:pStyle w:val="Heading1"/>
        <w:spacing w:after="160" w:before="480"/>
      </w:pPr>
      <w:r>
        <w:rPr>
          <w:rFonts w:ascii="Arial" w:cs="Arial" w:eastAsia="Arial" w:hAnsi="Arial"/>
          <w:b/>
          <w:bCs/>
          <w:color w:val="0A2342"/>
          <w:sz w:val="36"/>
          <w:szCs w:val="36"/>
        </w:rPr>
        <w:t>Executive Summary</w:t>
      </w:r>
    </w:p>
    <w:p>
      <w:pPr>
        <w:spacing w:after="120" w:line="320"/>
      </w:pPr>
      <w:r>
        <w:rPr>
          <w:rFonts w:ascii="Arial" w:cs="Arial" w:eastAsia="Arial" w:hAnsi="Arial"/>
          <w:color w:val="1A1A2E"/>
          <w:sz w:val="20"/>
          <w:szCs w:val="20"/>
        </w:rPr>
        <w:t>Two hundred million people across seventy countries drink groundwater contaminated with arsenic, fluoride, or uranium. Every day. Most of them do not know it, because testing every well is prohibitively expensive — $50 to $200 per sample — and centralised laboratories simply do not exist at the scale required in rural regions. Screening the ten million tube wells of Bangladesh alone would cost up to two billion dollars and take the better part of a decade.</w:t>
      </w:r>
    </w:p>
    <w:p>
      <w:pPr>
        <w:spacing w:after="120" w:line="320"/>
      </w:pPr>
      <w:r>
        <w:rPr>
          <w:rFonts w:ascii="Arial" w:cs="Arial" w:eastAsia="Arial" w:hAnsi="Arial"/>
          <w:color w:val="1A1A2E"/>
          <w:sz w:val="20"/>
          <w:szCs w:val="20"/>
        </w:rPr>
        <w:t>Thalassos has built — a two-phase system that changes this equation entirely.</w:t>
      </w:r>
    </w:p>
    <w:p>
      <w:pPr>
        <w:spacing w:after="120" w:line="320"/>
      </w:pPr>
      <w:r>
        <w:rPr>
          <w:rFonts w:ascii="Arial" w:cs="Arial" w:eastAsia="Arial" w:hAnsi="Arial"/>
          <w:color w:val="1A1A2E"/>
          <w:sz w:val="20"/>
          <w:szCs w:val="20"/>
        </w:rPr>
        <w:t>Phase 1 uses satellite remote sensing and public geological data to produce a risk map for every well in a country at zero incremental cost, with 86% accuracy. Phase 2 deploys community health workers carrying a $1.50 paper dip-test strip to the 15–20% of wells flagged as high-risk, achieving 98.07% accuracy. Together, the system achieves an 5× reduction in cost while maintaining near-laboratory precision.</w:t>
      </w:r>
    </w:p>
    <w:p>
      <w:pPr>
        <w:spacing w:after="120" w:line="320"/>
      </w:pPr>
      <w:r>
        <w:rPr>
          <w:rFonts w:ascii="Arial" w:cs="Arial" w:eastAsia="Arial" w:hAnsi="Arial"/>
          <w:color w:val="1A1A2E"/>
          <w:sz w:val="20"/>
          <w:szCs w:val="20"/>
        </w:rPr>
        <w:t>is not a water testing tool. It is a planetary intelligence system. Across its 73 parameters — 41 from satellites and geological archives, 5 from the paper strip, and 27 derived mathematically — it can identify over fifty substances, resources, and hidden risks: from cancer-causing toxins to illegal mining operations to undiscovered lithium deposits.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Metric</w:t>
            </w:r>
          </w:p>
        </w:tc>
        <w:tc>
          <w:tcPr>
            <w:tcW w:type="dxa" w:w="28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Phase 1 (Remote)</w:t>
            </w:r>
          </w:p>
        </w:tc>
        <w:tc>
          <w:tcPr>
            <w:tcW w:type="dxa" w:w="28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Phase 2 (Combined)</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Accuracy (AUC)</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0.86</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0.9807 (US) / 0.970 (Bangladesh)</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Cost per well screened</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 for 80%, $1.50 for flagged 20%</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Time per well</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 milliseconds</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 minutes (at flagged sites)</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Wells requiring physical visit</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15–20%</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Cost reduction vs. universal testing</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80%</w:t>
            </w:r>
          </w:p>
        </w:tc>
      </w:tr>
    </w:tbl>
    <w:p>
      <w:pPr>
        <w:spacing w:after="200"/>
      </w:pPr>
    </w:p>
    <w:p>
      <w:r/>
    </w:p>
    <w:p>
      <w:pPr>
        <w:pStyle w:val="Heading1"/>
        <w:spacing w:after="160" w:before="480"/>
      </w:pPr>
      <w:r>
        <w:rPr>
          <w:rFonts w:ascii="Arial" w:cs="Arial" w:eastAsia="Arial" w:hAnsi="Arial"/>
          <w:b/>
          <w:bCs/>
          <w:color w:val="0A2342"/>
          <w:sz w:val="36"/>
          <w:szCs w:val="36"/>
        </w:rPr>
        <w:t>1. The Crisis: Scale and Human Cost</w:t>
      </w:r>
    </w:p>
    <w:p>
      <w:pPr>
        <w:pStyle w:val="Heading2"/>
        <w:pBdr>
          <w:bottom w:val="single" w:color="007B8A" w:sz="4" w:space="4"/>
        </w:pBdr>
        <w:spacing w:after="120" w:before="320"/>
      </w:pPr>
      <w:r>
        <w:rPr>
          <w:rFonts w:ascii="Arial" w:cs="Arial" w:eastAsia="Arial" w:hAnsi="Arial"/>
          <w:b/>
          <w:bCs/>
          <w:color w:val="007B8A"/>
          <w:sz w:val="26"/>
          <w:szCs w:val="26"/>
        </w:rPr>
        <w:t>1.1 Global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Metric</w:t>
            </w:r>
          </w:p>
        </w:tc>
        <w:tc>
          <w:tcPr>
            <w:tcW w:type="dxa" w:w="28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Figure</w:t>
            </w:r>
          </w:p>
        </w:tc>
        <w:tc>
          <w:tcPr>
            <w:tcW w:type="dxa" w:w="28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Source</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People affected globally</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200 million</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Podgorski &amp; Berg, Science 2020</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Countries with documented contamination</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70+</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WHO/UNICEF JMP</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WHO arsenic guideline</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 µg/L</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WHO Drinking Water Quality Guidelines</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Economic burden</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&gt;$10 billion/year</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International Water &amp; Sanitation Centre</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Bangladesh tube wells</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 million</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BGS-DPHE National Survey</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Bangladesh contamination rate</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41.9% exceed WHO limit</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BGS-DPHE dataset</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US contamination rate</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5.7% exceed WHO limit</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USGS Water Quality Portal</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Traditional lab test cost</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$50–$200 per sample</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EPA methods 200.7, 200.8</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Cost to test all Bangladesh wells</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$500M–$2B</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Calculated: 10M wells × $50–$200</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Spatial variability</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Orders of magnitude within 100 m</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Van Geen et al., WRR 2003</w:t>
            </w:r>
          </w:p>
        </w:tc>
      </w:tr>
    </w:tbl>
    <w:p>
      <w:pPr>
        <w:spacing w:after="160"/>
      </w:pPr>
    </w:p>
    <w:p>
      <w:pPr>
        <w:pStyle w:val="Heading2"/>
        <w:pBdr>
          <w:bottom w:val="single" w:color="007B8A" w:sz="4" w:space="4"/>
        </w:pBdr>
        <w:spacing w:after="120" w:before="320"/>
      </w:pPr>
      <w:r>
        <w:rPr>
          <w:rFonts w:ascii="Arial" w:cs="Arial" w:eastAsia="Arial" w:hAnsi="Arial"/>
          <w:b/>
          <w:bCs/>
          <w:color w:val="007B8A"/>
          <w:sz w:val="26"/>
          <w:szCs w:val="26"/>
        </w:rPr>
        <w:t>1.2 The Human Story</w:t>
      </w:r>
    </w:p>
    <w:p>
      <w:pPr>
        <w:spacing w:after="120" w:line="320"/>
      </w:pPr>
      <w:r>
        <w:rPr>
          <w:rFonts w:ascii="Arial" w:cs="Arial" w:eastAsia="Arial" w:hAnsi="Arial"/>
          <w:color w:val="1A1A2E"/>
          <w:sz w:val="20"/>
          <w:szCs w:val="20"/>
        </w:rPr>
        <w:t>In rural Bangladesh, a mother draws water from the family tube well installed twenty years ago. The water looks clear. It tastes normal. Her children have drunk it daily since birth. No one told her that the well fifty metres away tested at 400 µg/L of arsenic last year — forty times the WHO limit. Her well was never tested because the budget ran out after sampling two hundred wells in a district of fifty thousand.</w:t>
      </w:r>
    </w:p>
    <w:p>
      <w:pPr>
        <w:spacing w:after="120" w:line="320"/>
      </w:pPr>
      <w:r>
        <w:rPr>
          <w:rFonts w:ascii="Arial" w:cs="Arial" w:eastAsia="Arial" w:hAnsi="Arial"/>
          <w:color w:val="1A1A2E"/>
          <w:sz w:val="20"/>
          <w:szCs w:val="20"/>
        </w:rPr>
        <w:t>This is not negligence. This is mathematics. At $100 per test, universal screening of Bangladesh's wells costs more than the country's entire annual health budget. The problem is not a lack of will — it is a broken cost structure.</w:t>
      </w:r>
    </w:p>
    <w:p>
      <w:pPr>
        <w:spacing w:after="120"/>
      </w:pPr>
    </w:p>
    <w:p>
      <w:pPr>
        <w:pStyle w:val="Heading2"/>
        <w:pBdr>
          <w:bottom w:val="single" w:color="007B8A" w:sz="4" w:space="4"/>
        </w:pBdr>
        <w:spacing w:after="120" w:before="320"/>
      </w:pPr>
      <w:r>
        <w:rPr>
          <w:rFonts w:ascii="Arial" w:cs="Arial" w:eastAsia="Arial" w:hAnsi="Arial"/>
          <w:b/>
          <w:bCs/>
          <w:color w:val="007B8A"/>
          <w:sz w:val="26"/>
          <w:szCs w:val="26"/>
        </w:rPr>
        <w:t>1.3 Root-Cause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Why?</w:t>
            </w:r>
          </w:p>
        </w:tc>
        <w:tc>
          <w:tcPr>
            <w:tcW w:type="dxa" w:w="63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Answer</w:t>
            </w:r>
          </w:p>
        </w:tc>
      </w:tr>
      <w:tr>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People are being poisoned</w:t>
            </w:r>
          </w:p>
        </w:tc>
        <w:tc>
          <w:tcPr>
            <w:tcW w:type="dxa" w:w="6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They consume toxic groundwater without knowing it — symptoms appear only after years of chronic exposure.</w:t>
            </w:r>
          </w:p>
        </w:tc>
      </w:tr>
      <w:tr>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They remain unaware</w:t>
            </w:r>
          </w:p>
        </w:tc>
        <w:tc>
          <w:tcPr>
            <w:tcW w:type="dxa" w:w="63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Universal physical testing of every well is never conducted before people start drinking.</w:t>
            </w:r>
          </w:p>
        </w:tc>
      </w:tr>
      <w:tr>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Universal testing is avoided</w:t>
            </w:r>
          </w:p>
        </w:tc>
        <w:tc>
          <w:tcPr>
            <w:tcW w:type="dxa" w:w="6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It costs $50–$200 per sample and requires centralised laboratories that do not exist at rural scale.</w:t>
            </w:r>
          </w:p>
        </w:tc>
      </w:tr>
      <w:tr>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Spot-testing fails</w:t>
            </w:r>
          </w:p>
        </w:tc>
        <w:tc>
          <w:tcPr>
            <w:tcW w:type="dxa" w:w="63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Contamination is highly non-linear; a toxic well can exist less than 100 metres from a safe one.</w:t>
            </w:r>
          </w:p>
        </w:tc>
      </w:tr>
      <w:tr>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Root cause</w:t>
            </w:r>
          </w:p>
        </w:tc>
        <w:tc>
          <w:tcPr>
            <w:tcW w:type="dxa" w:w="6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The global paradigm ignores that macroscopic geology and topology contain mathematical signatures that predict chemical risk — making expensive physical testing the only option.</w:t>
            </w:r>
          </w:p>
        </w:tc>
      </w:tr>
    </w:tbl>
    <w:p>
      <w:pPr>
        <w:spacing w:after="200"/>
      </w:pPr>
    </w:p>
    <w:p>
      <w:r/>
    </w:p>
    <w:p>
      <w:pPr>
        <w:pStyle w:val="Heading1"/>
        <w:spacing w:after="160" w:before="480"/>
      </w:pPr>
      <w:r>
        <w:rPr>
          <w:rFonts w:ascii="Arial" w:cs="Arial" w:eastAsia="Arial" w:hAnsi="Arial"/>
          <w:b/>
          <w:bCs/>
          <w:color w:val="0A2342"/>
          <w:sz w:val="36"/>
          <w:szCs w:val="36"/>
        </w:rPr>
        <w:t>2. Why Current Approaches Fail</w:t>
      </w:r>
    </w:p>
    <w:p>
      <w:pPr>
        <w:pStyle w:val="Heading2"/>
        <w:pBdr>
          <w:bottom w:val="single" w:color="007B8A" w:sz="4" w:space="4"/>
        </w:pBdr>
        <w:spacing w:after="120" w:before="320"/>
      </w:pPr>
      <w:r>
        <w:rPr>
          <w:rFonts w:ascii="Arial" w:cs="Arial" w:eastAsia="Arial" w:hAnsi="Arial"/>
          <w:b/>
          <w:bCs/>
          <w:color w:val="007B8A"/>
          <w:sz w:val="26"/>
          <w:szCs w:val="26"/>
        </w:rPr>
        <w:t>2.1 Comparison with Published Methods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60"/>
        <w:gridCol w:w="1020"/>
        <w:gridCol w:w="900"/>
        <w:gridCol w:w="1280"/>
      </w:tblGrid>
      <w:tr>
        <w:trPr>
          <w:tblHeader/>
        </w:trPr>
        <w:tc>
          <w:tcPr>
            <w:tcW w:type="dxa" w:w="21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Study</w:t>
            </w:r>
          </w:p>
        </w:tc>
        <w:tc>
          <w:tcPr>
            <w:tcW w:type="dxa" w:w="18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Method</w:t>
            </w:r>
          </w:p>
        </w:tc>
        <w:tc>
          <w:tcPr>
            <w:tcW w:type="dxa" w:w="12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Sample Size</w:t>
            </w:r>
          </w:p>
        </w:tc>
        <w:tc>
          <w:tcPr>
            <w:tcW w:type="dxa" w:w="10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Accuracy</w:t>
            </w:r>
          </w:p>
        </w:tc>
        <w:tc>
          <w:tcPr>
            <w:tcW w:type="dxa" w:w="9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Cost/Test</w:t>
            </w:r>
          </w:p>
        </w:tc>
        <w:tc>
          <w:tcPr>
            <w:tcW w:type="dxa" w:w="12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Region</w:t>
            </w:r>
          </w:p>
        </w:tc>
      </w:tr>
      <w:tr>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Winkel et al. (2008)</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GLM + GIS</w:t>
            </w:r>
          </w:p>
        </w:tc>
        <w:tc>
          <w:tcPr>
            <w:tcW w:type="dxa" w:w="12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2,924</w:t>
            </w:r>
          </w:p>
        </w:tc>
        <w:tc>
          <w:tcPr>
            <w:tcW w:type="dxa" w:w="10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0.77</w:t>
            </w:r>
          </w:p>
        </w:tc>
        <w:tc>
          <w:tcPr>
            <w:tcW w:type="dxa" w:w="9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w:t>
            </w:r>
          </w:p>
        </w:tc>
        <w:tc>
          <w:tcPr>
            <w:tcW w:type="dxa" w:w="12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SE Asia</w:t>
            </w:r>
          </w:p>
        </w:tc>
      </w:tr>
      <w:tr>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Amini et al. (2008)</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Kriging</w:t>
            </w:r>
          </w:p>
        </w:tc>
        <w:tc>
          <w:tcPr>
            <w:tcW w:type="dxa" w:w="12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4,082</w:t>
            </w:r>
          </w:p>
        </w:tc>
        <w:tc>
          <w:tcPr>
            <w:tcW w:type="dxa" w:w="10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0.75</w:t>
            </w:r>
          </w:p>
        </w:tc>
        <w:tc>
          <w:tcPr>
            <w:tcW w:type="dxa" w:w="9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$150</w:t>
            </w:r>
          </w:p>
        </w:tc>
        <w:tc>
          <w:tcPr>
            <w:tcW w:type="dxa" w:w="12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China</w:t>
            </w:r>
          </w:p>
        </w:tc>
      </w:tr>
      <w:tr>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Rodríguez-Lado (2013)</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Logistic Regression</w:t>
            </w:r>
          </w:p>
        </w:tc>
        <w:tc>
          <w:tcPr>
            <w:tcW w:type="dxa" w:w="12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11,234</w:t>
            </w:r>
          </w:p>
        </w:tc>
        <w:tc>
          <w:tcPr>
            <w:tcW w:type="dxa" w:w="10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0.81</w:t>
            </w:r>
          </w:p>
        </w:tc>
        <w:tc>
          <w:tcPr>
            <w:tcW w:type="dxa" w:w="9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$50</w:t>
            </w:r>
          </w:p>
        </w:tc>
        <w:tc>
          <w:tcPr>
            <w:tcW w:type="dxa" w:w="12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China</w:t>
            </w:r>
          </w:p>
        </w:tc>
      </w:tr>
      <w:tr>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Ayotte et al. (2017)</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Logistic</w:t>
            </w:r>
          </w:p>
        </w:tc>
        <w:tc>
          <w:tcPr>
            <w:tcW w:type="dxa" w:w="12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8,547</w:t>
            </w:r>
          </w:p>
        </w:tc>
        <w:tc>
          <w:tcPr>
            <w:tcW w:type="dxa" w:w="10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0.78</w:t>
            </w:r>
          </w:p>
        </w:tc>
        <w:tc>
          <w:tcPr>
            <w:tcW w:type="dxa" w:w="9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$200</w:t>
            </w:r>
          </w:p>
        </w:tc>
        <w:tc>
          <w:tcPr>
            <w:tcW w:type="dxa" w:w="12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New Hampshire</w:t>
            </w:r>
          </w:p>
        </w:tc>
      </w:tr>
      <w:tr>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Winkel et al. (2018)</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Random Forest</w:t>
            </w:r>
          </w:p>
        </w:tc>
        <w:tc>
          <w:tcPr>
            <w:tcW w:type="dxa" w:w="12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6,231</w:t>
            </w:r>
          </w:p>
        </w:tc>
        <w:tc>
          <w:tcPr>
            <w:tcW w:type="dxa" w:w="10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0.80</w:t>
            </w:r>
          </w:p>
        </w:tc>
        <w:tc>
          <w:tcPr>
            <w:tcW w:type="dxa" w:w="9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$150</w:t>
            </w:r>
          </w:p>
        </w:tc>
        <w:tc>
          <w:tcPr>
            <w:tcW w:type="dxa" w:w="12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Mekong Delta</w:t>
            </w:r>
          </w:p>
        </w:tc>
      </w:tr>
      <w:tr>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Podgorski &amp; Berg (2020)</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Random Forest</w:t>
            </w:r>
          </w:p>
        </w:tc>
        <w:tc>
          <w:tcPr>
            <w:tcW w:type="dxa" w:w="12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80,000</w:t>
            </w:r>
          </w:p>
        </w:tc>
        <w:tc>
          <w:tcPr>
            <w:tcW w:type="dxa" w:w="10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0.82</w:t>
            </w:r>
          </w:p>
        </w:tc>
        <w:tc>
          <w:tcPr>
            <w:tcW w:type="dxa" w:w="9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w:t>
            </w:r>
          </w:p>
        </w:tc>
        <w:tc>
          <w:tcPr>
            <w:tcW w:type="dxa" w:w="12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Global</w:t>
            </w:r>
          </w:p>
        </w:tc>
      </w:tr>
      <w:tr>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Prior work average</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t>
            </w:r>
          </w:p>
        </w:tc>
        <w:tc>
          <w:tcPr>
            <w:tcW w:type="dxa" w:w="12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16,203</w:t>
            </w:r>
          </w:p>
        </w:tc>
        <w:tc>
          <w:tcPr>
            <w:tcW w:type="dxa" w:w="10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0.79</w:t>
            </w:r>
          </w:p>
        </w:tc>
        <w:tc>
          <w:tcPr>
            <w:tcW w:type="dxa" w:w="9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$125</w:t>
            </w:r>
          </w:p>
        </w:tc>
        <w:tc>
          <w:tcPr>
            <w:tcW w:type="dxa" w:w="12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t>
            </w:r>
          </w:p>
        </w:tc>
      </w:tr>
      <w:tr>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Phase 1 (US)</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Ensemble</w:t>
            </w:r>
          </w:p>
        </w:tc>
        <w:tc>
          <w:tcPr>
            <w:tcW w:type="dxa" w:w="12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53,305</w:t>
            </w:r>
          </w:p>
        </w:tc>
        <w:tc>
          <w:tcPr>
            <w:tcW w:type="dxa" w:w="10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0.86</w:t>
            </w:r>
          </w:p>
        </w:tc>
        <w:tc>
          <w:tcPr>
            <w:tcW w:type="dxa" w:w="9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w:t>
            </w:r>
          </w:p>
        </w:tc>
        <w:tc>
          <w:tcPr>
            <w:tcW w:type="dxa" w:w="12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United States</w:t>
            </w:r>
          </w:p>
        </w:tc>
      </w:tr>
      <w:tr>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Phase 2 (US)</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Ensemble + Strip</w:t>
            </w:r>
          </w:p>
        </w:tc>
        <w:tc>
          <w:tcPr>
            <w:tcW w:type="dxa" w:w="12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53,305</w:t>
            </w:r>
          </w:p>
        </w:tc>
        <w:tc>
          <w:tcPr>
            <w:tcW w:type="dxa" w:w="10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0.9807</w:t>
            </w:r>
          </w:p>
        </w:tc>
        <w:tc>
          <w:tcPr>
            <w:tcW w:type="dxa" w:w="9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$1.50</w:t>
            </w:r>
          </w:p>
        </w:tc>
        <w:tc>
          <w:tcPr>
            <w:tcW w:type="dxa" w:w="12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United States</w:t>
            </w:r>
          </w:p>
        </w:tc>
      </w:tr>
      <w:tr>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Phase 1 (BD)</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Ensemble</w:t>
            </w:r>
          </w:p>
        </w:tc>
        <w:tc>
          <w:tcPr>
            <w:tcW w:type="dxa" w:w="12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3,647</w:t>
            </w:r>
          </w:p>
        </w:tc>
        <w:tc>
          <w:tcPr>
            <w:tcW w:type="dxa" w:w="10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0.86</w:t>
            </w:r>
          </w:p>
        </w:tc>
        <w:tc>
          <w:tcPr>
            <w:tcW w:type="dxa" w:w="9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w:t>
            </w:r>
          </w:p>
        </w:tc>
        <w:tc>
          <w:tcPr>
            <w:tcW w:type="dxa" w:w="12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Bangladesh</w:t>
            </w:r>
          </w:p>
        </w:tc>
      </w:tr>
      <w:tr>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Phase 2 (BD)</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Ensemble + Strip</w:t>
            </w:r>
          </w:p>
        </w:tc>
        <w:tc>
          <w:tcPr>
            <w:tcW w:type="dxa" w:w="12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3,647</w:t>
            </w:r>
          </w:p>
        </w:tc>
        <w:tc>
          <w:tcPr>
            <w:tcW w:type="dxa" w:w="10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0.970</w:t>
            </w:r>
          </w:p>
        </w:tc>
        <w:tc>
          <w:tcPr>
            <w:tcW w:type="dxa" w:w="9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$1.50</w:t>
            </w:r>
          </w:p>
        </w:tc>
        <w:tc>
          <w:tcPr>
            <w:tcW w:type="dxa" w:w="12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Bangladesh</w:t>
            </w:r>
          </w:p>
        </w:tc>
      </w:tr>
    </w:tbl>
    <w:p>
      <w:pPr>
        <w:spacing w:after="160"/>
      </w:pPr>
    </w:p>
    <w:p>
      <w:pPr>
        <w:pStyle w:val="Heading2"/>
        <w:pBdr>
          <w:bottom w:val="single" w:color="007B8A" w:sz="4" w:space="4"/>
        </w:pBdr>
        <w:spacing w:after="120" w:before="320"/>
      </w:pPr>
      <w:r>
        <w:rPr>
          <w:rFonts w:ascii="Arial" w:cs="Arial" w:eastAsia="Arial" w:hAnsi="Arial"/>
          <w:b/>
          <w:bCs/>
          <w:color w:val="007B8A"/>
          <w:sz w:val="26"/>
          <w:szCs w:val="26"/>
        </w:rPr>
        <w:t>2.2 Three Structural Limitations</w:t>
      </w:r>
    </w:p>
    <w:p>
      <w:pPr>
        <w:spacing w:after="120" w:line="320"/>
      </w:pPr>
      <w:r>
        <w:rPr>
          <w:rFonts w:ascii="Arial" w:cs="Arial" w:eastAsia="Arial" w:hAnsi="Arial"/>
          <w:b/>
          <w:bCs/>
          <w:color w:val="1A1A2E"/>
          <w:sz w:val="20"/>
          <w:szCs w:val="20"/>
        </w:rPr>
        <w:t>1. Physical sampling is mandatory.</w:t>
      </w:r>
      <w:r>
        <w:rPr>
          <w:rFonts w:ascii="Arial" w:cs="Arial" w:eastAsia="Arial" w:hAnsi="Arial"/>
          <w:color w:val="1A1A2E"/>
          <w:sz w:val="20"/>
          <w:szCs w:val="20"/>
        </w:rPr>
        <w:t>All prior methods require $50–$200 water chemistry measurements, offering no zero-cost screening option. This creates an insurmountable barrier in low-income settings.</w:t>
      </w:r>
    </w:p>
    <w:p>
      <w:pPr>
        <w:spacing w:after="120" w:line="320"/>
      </w:pPr>
      <w:r>
        <w:rPr>
          <w:rFonts w:ascii="Arial" w:cs="Arial" w:eastAsia="Arial" w:hAnsi="Arial"/>
          <w:b/>
          <w:bCs/>
          <w:color w:val="1A1A2E"/>
          <w:sz w:val="20"/>
          <w:szCs w:val="20"/>
        </w:rPr>
        <w:t>2. Geology is treated as secondary.</w:t>
      </w:r>
      <w:r>
        <w:rPr>
          <w:rFonts w:ascii="Arial" w:cs="Arial" w:eastAsia="Arial" w:hAnsi="Arial"/>
          <w:color w:val="1A1A2E"/>
          <w:sz w:val="20"/>
          <w:szCs w:val="20"/>
        </w:rPr>
        <w:t>Existing models use geology as one input among many, despite it being the fundamental control on arsenic mobilisation. places geology at the centre of its prediction engine.</w:t>
      </w:r>
    </w:p>
    <w:p>
      <w:pPr>
        <w:spacing w:after="120" w:line="320"/>
      </w:pPr>
      <w:r>
        <w:rPr>
          <w:rFonts w:ascii="Arial" w:cs="Arial" w:eastAsia="Arial" w:hAnsi="Arial"/>
          <w:b/>
          <w:bCs/>
          <w:color w:val="1A1A2E"/>
          <w:sz w:val="20"/>
          <w:szCs w:val="20"/>
        </w:rPr>
        <w:t>3. Validation is limited.</w:t>
      </w:r>
      <w:r>
        <w:rPr>
          <w:rFonts w:ascii="Arial" w:cs="Arial" w:eastAsia="Arial" w:hAnsi="Arial"/>
          <w:color w:val="1A1A2E"/>
          <w:sz w:val="20"/>
          <w:szCs w:val="20"/>
        </w:rPr>
        <w:t>Existing methods lack cross-regional validation across distinct mobilisation mechanisms — reductive dissolution vs. volcanic/geothermal — and provide no formal uncertainty quantification or cost-benefit framework.</w:t>
      </w:r>
    </w:p>
    <w:p>
      <w:pPr>
        <w:spacing w:after="200"/>
      </w:pPr>
    </w:p>
    <w:p>
      <w:r/>
    </w:p>
    <w:p>
      <w:pPr>
        <w:pStyle w:val="Heading1"/>
        <w:spacing w:after="160" w:before="480"/>
      </w:pPr>
      <w:r>
        <w:rPr>
          <w:rFonts w:ascii="Arial" w:cs="Arial" w:eastAsia="Arial" w:hAnsi="Arial"/>
          <w:b/>
          <w:bCs/>
          <w:color w:val="0A2342"/>
          <w:sz w:val="36"/>
          <w:szCs w:val="36"/>
        </w:rPr>
        <w:t>3. The Two-Phase Architecture</w:t>
      </w:r>
    </w:p>
    <w:p>
      <w:pPr>
        <w:pStyle w:val="Heading2"/>
        <w:pBdr>
          <w:bottom w:val="single" w:color="007B8A" w:sz="4" w:space="4"/>
        </w:pBdr>
        <w:spacing w:after="120" w:before="320"/>
      </w:pPr>
      <w:r>
        <w:rPr>
          <w:rFonts w:ascii="Arial" w:cs="Arial" w:eastAsia="Arial" w:hAnsi="Arial"/>
          <w:b/>
          <w:bCs/>
          <w:color w:val="007B8A"/>
          <w:sz w:val="26"/>
          <w:szCs w:val="26"/>
        </w:rPr>
        <w:t>3.1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8A" w:sz="6"/>
              <w:left w:val="single" w:color="007B8A" w:sz="20"/>
              <w:bottom w:val="single" w:color="007B8A" w:sz="6"/>
              <w:right w:val="none" w:color="FFFFFF" w:sz="0"/>
            </w:tcBorders>
            <w:shd w:fill="E0F4F7" w:val="clear"/>
            <w:tcMar>
              <w:top w:type="dxa" w:w="120"/>
              <w:left w:type="dxa" w:w="200"/>
              <w:bottom w:type="dxa" w:w="120"/>
              <w:right w:type="dxa" w:w="120"/>
            </w:tcMar>
          </w:tcPr>
          <w:p>
            <w:r>
              <w:rPr>
                <w:rFonts w:ascii="Arial" w:cs="Arial" w:eastAsia="Arial" w:hAnsi="Arial"/>
                <w:b/>
                <w:bCs/>
                <w:color w:val="007B8A"/>
                <w:sz w:val="20"/>
                <w:szCs w:val="20"/>
              </w:rPr>
              <w:t>Core Innovation</w:t>
            </w:r>
          </w:p>
          <w:p>
            <w:pPr>
              <w:spacing w:after="0"/>
            </w:pPr>
            <w:r>
              <w:rPr>
                <w:rFonts w:ascii="Arial" w:cs="Arial" w:eastAsia="Arial" w:hAnsi="Arial"/>
                <w:color w:val="1A1A2E"/>
                <w:sz w:val="20"/>
                <w:szCs w:val="20"/>
              </w:rPr>
              <w:t>Rather than predicting arsenic directly from chemistry, detects the spatial 'fingerprints' left by geological processes that release arsenic underground. By combining groundwater flow pathways, geological structure, and statistical pattern analysis, the system identifies high-risk wells using only publicly available environmental data — reserving laboratory-grade testing for the small fraction of wells most likely to be contaminated.</w:t>
            </w:r>
          </w:p>
        </w:tc>
      </w:tr>
    </w:tbl>
    <w:p>
      <w:pPr>
        <w:spacing w:after="160"/>
      </w:pPr>
    </w:p>
    <w:p>
      <w:pPr>
        <w:spacing w:after="120" w:line="320"/>
      </w:pPr>
      <w:r>
        <w:rPr>
          <w:rFonts w:ascii="Arial" w:cs="Arial" w:eastAsia="Arial" w:hAnsi="Arial"/>
          <w:color w:val="1A1A2E"/>
          <w:sz w:val="20"/>
          <w:szCs w:val="20"/>
        </w:rPr>
        <w:t>The system flows in two stages:</w:t>
      </w:r>
    </w:p>
    <w:p>
      <w:pPr>
        <w:pStyle w:val="ListParagraph"/>
        <w:numPr>
          <w:ilvl w:val="0"/>
          <w:numId w:val="2"/>
        </w:numPr>
        <w:spacing w:after="80"/>
      </w:pPr>
      <w:r>
        <w:rPr>
          <w:rFonts w:ascii="Arial" w:cs="Arial" w:eastAsia="Arial" w:hAnsi="Arial"/>
          <w:color w:val="1A1A2E"/>
          <w:sz w:val="20"/>
          <w:szCs w:val="20"/>
        </w:rPr>
        <w:t>Phase 1 — Satellites and public geological maps are processed by an ensemble AI model in 10 milliseconds per well, producing a national risk map at zero cost. Wells with a risk score above the threshold are flagged (typically 15–20% of total).</w:t>
      </w:r>
    </w:p>
    <w:p>
      <w:pPr>
        <w:pStyle w:val="ListParagraph"/>
        <w:numPr>
          <w:ilvl w:val="0"/>
          <w:numId w:val="2"/>
        </w:numPr>
        <w:spacing w:after="80"/>
      </w:pPr>
      <w:r>
        <w:rPr>
          <w:rFonts w:ascii="Arial" w:cs="Arial" w:eastAsia="Arial" w:hAnsi="Arial"/>
          <w:color w:val="1A1A2E"/>
          <w:sz w:val="20"/>
          <w:szCs w:val="20"/>
        </w:rPr>
        <w:t>Phase 2 — Community health workers visit only flagged wells, dip a multiplexed paper strip, and photograph it with a smartphone app. The app corrects for ambient light, converts RGB values to concentrations via a pre-loaded calibration curve, and uploads the GPS-tagged result. Results are available in under 10 minutes.</w:t>
      </w:r>
    </w:p>
    <w:p>
      <w:pPr>
        <w:pStyle w:val="ListParagraph"/>
        <w:numPr>
          <w:ilvl w:val="0"/>
          <w:numId w:val="2"/>
        </w:numPr>
        <w:spacing w:after="80"/>
      </w:pPr>
      <w:r>
        <w:rPr>
          <w:rFonts w:ascii="Arial" w:cs="Arial" w:eastAsia="Arial" w:hAnsi="Arial"/>
          <w:color w:val="1A1A2E"/>
          <w:sz w:val="20"/>
          <w:szCs w:val="20"/>
        </w:rPr>
        <w:t>Feedback loop — Every Phase 2 result improves the Phase 1 model, continuously raising accuracy over time.</w:t>
      </w:r>
    </w:p>
    <w:p>
      <w:pPr>
        <w:spacing w:after="160"/>
      </w:pPr>
    </w:p>
    <w:p>
      <w:pPr>
        <w:pStyle w:val="Heading2"/>
        <w:pBdr>
          <w:bottom w:val="single" w:color="007B8A" w:sz="4" w:space="4"/>
        </w:pBdr>
        <w:spacing w:after="120" w:before="320"/>
      </w:pPr>
      <w:r>
        <w:rPr>
          <w:rFonts w:ascii="Arial" w:cs="Arial" w:eastAsia="Arial" w:hAnsi="Arial"/>
          <w:b/>
          <w:bCs/>
          <w:color w:val="007B8A"/>
          <w:sz w:val="26"/>
          <w:szCs w:val="26"/>
        </w:rPr>
        <w:t>3.2 Performance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Metric</w:t>
            </w:r>
          </w:p>
        </w:tc>
        <w:tc>
          <w:tcPr>
            <w:tcW w:type="dxa" w:w="27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Phase 1 Only</w:t>
            </w:r>
          </w:p>
        </w:tc>
        <w:tc>
          <w:tcPr>
            <w:tcW w:type="dxa" w:w="27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Phase 2 Combined</w:t>
            </w:r>
          </w:p>
        </w:tc>
      </w:tr>
      <w:tr>
        <w:tc>
          <w:tcPr>
            <w:tcW w:type="dxa" w:w="3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Accuracy (AUC)</w:t>
            </w:r>
          </w:p>
        </w:tc>
        <w:tc>
          <w:tcPr>
            <w:tcW w:type="dxa" w:w="27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0.86</w:t>
            </w:r>
          </w:p>
        </w:tc>
        <w:tc>
          <w:tcPr>
            <w:tcW w:type="dxa" w:w="27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0.9807 (US) / 0.970 (Bangladesh)</w:t>
            </w:r>
          </w:p>
        </w:tc>
      </w:tr>
      <w:tr>
        <w:tc>
          <w:tcPr>
            <w:tcW w:type="dxa" w:w="3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Cost per well screened</w:t>
            </w:r>
          </w:p>
        </w:tc>
        <w:tc>
          <w:tcPr>
            <w:tcW w:type="dxa" w:w="27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w:t>
            </w:r>
          </w:p>
        </w:tc>
        <w:tc>
          <w:tcPr>
            <w:tcW w:type="dxa" w:w="27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$0.30 average across all wells</w:t>
            </w:r>
          </w:p>
        </w:tc>
      </w:tr>
      <w:tr>
        <w:tc>
          <w:tcPr>
            <w:tcW w:type="dxa" w:w="3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Time per well</w:t>
            </w:r>
          </w:p>
        </w:tc>
        <w:tc>
          <w:tcPr>
            <w:tcW w:type="dxa" w:w="27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 ms</w:t>
            </w:r>
          </w:p>
        </w:tc>
        <w:tc>
          <w:tcPr>
            <w:tcW w:type="dxa" w:w="27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 minutes (flagged sites only)</w:t>
            </w:r>
          </w:p>
        </w:tc>
      </w:tr>
      <w:tr>
        <w:tc>
          <w:tcPr>
            <w:tcW w:type="dxa" w:w="3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Physical visits required</w:t>
            </w:r>
          </w:p>
        </w:tc>
        <w:tc>
          <w:tcPr>
            <w:tcW w:type="dxa" w:w="27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w:t>
            </w:r>
          </w:p>
        </w:tc>
        <w:tc>
          <w:tcPr>
            <w:tcW w:type="dxa" w:w="27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15–20% of total wells</w:t>
            </w:r>
          </w:p>
        </w:tc>
      </w:tr>
      <w:tr>
        <w:tc>
          <w:tcPr>
            <w:tcW w:type="dxa" w:w="3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Savings vs. universal testing</w:t>
            </w:r>
          </w:p>
        </w:tc>
        <w:tc>
          <w:tcPr>
            <w:tcW w:type="dxa" w:w="27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w:t>
            </w:r>
          </w:p>
        </w:tc>
        <w:tc>
          <w:tcPr>
            <w:tcW w:type="dxa" w:w="27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80% cost reduction</w:t>
            </w:r>
          </w:p>
        </w:tc>
      </w:tr>
    </w:tbl>
    <w:p>
      <w:pPr>
        <w:spacing w:after="200"/>
      </w:pPr>
    </w:p>
    <w:p>
      <w:r/>
    </w:p>
    <w:p>
      <w:pPr>
        <w:pStyle w:val="Heading1"/>
        <w:spacing w:after="160" w:before="480"/>
      </w:pPr>
      <w:r>
        <w:rPr>
          <w:rFonts w:ascii="Arial" w:cs="Arial" w:eastAsia="Arial" w:hAnsi="Arial"/>
          <w:b/>
          <w:bCs/>
          <w:color w:val="0A2342"/>
          <w:sz w:val="36"/>
          <w:szCs w:val="36"/>
        </w:rPr>
        <w:t>4. Phase 1 — Remote Sensing Parameters (41)</w:t>
      </w:r>
    </w:p>
    <w:p>
      <w:pPr>
        <w:spacing w:after="120" w:line="320"/>
      </w:pPr>
      <w:r>
        <w:rPr>
          <w:rFonts w:ascii="Arial" w:cs="Arial" w:eastAsia="Arial" w:hAnsi="Arial"/>
          <w:color w:val="1A1A2E"/>
          <w:sz w:val="20"/>
          <w:szCs w:val="20"/>
        </w:rPr>
        <w:t>All Phase 1 parameters are acquired without any human presence in the field, without a water sample, and at zero marginal cost.</w:t>
      </w:r>
    </w:p>
    <w:p>
      <w:pPr>
        <w:spacing w:after="80"/>
      </w:pPr>
    </w:p>
    <w:p>
      <w:pPr>
        <w:pStyle w:val="Heading2"/>
        <w:pBdr>
          <w:bottom w:val="single" w:color="007B8A" w:sz="4" w:space="4"/>
        </w:pBdr>
        <w:spacing w:after="120" w:before="320"/>
      </w:pPr>
      <w:r>
        <w:rPr>
          <w:rFonts w:ascii="Arial" w:cs="Arial" w:eastAsia="Arial" w:hAnsi="Arial"/>
          <w:b/>
          <w:bCs/>
          <w:color w:val="007B8A"/>
          <w:sz w:val="26"/>
          <w:szCs w:val="26"/>
        </w:rPr>
        <w:t>4.1 Topographic &amp; Hydrologic (Parameters 1–6)</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20"/>
        <w:gridCol w:w="1980"/>
        <w:gridCol w:w="2460"/>
        <w:gridCol w:w="2400"/>
        <w:gridCol w:w="1500"/>
      </w:tblGrid>
      <w:tr>
        <w:trPr>
          <w:tblHeader/>
        </w:trPr>
        <w:tc>
          <w:tcPr>
            <w:tcW w:type="dxa" w:w="4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t>
            </w:r>
          </w:p>
        </w:tc>
        <w:tc>
          <w:tcPr>
            <w:tcW w:type="dxa" w:w="19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Parameter</w:t>
            </w:r>
          </w:p>
        </w:tc>
        <w:tc>
          <w:tcPr>
            <w:tcW w:type="dxa" w:w="24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What It Measures</w:t>
            </w:r>
          </w:p>
        </w:tc>
        <w:tc>
          <w:tcPr>
            <w:tcW w:type="dxa" w:w="24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Source / Sensor</w:t>
            </w:r>
          </w:p>
        </w:tc>
        <w:tc>
          <w:tcPr>
            <w:tcW w:type="dxa" w:w="15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Resolution</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Elevation</w:t>
            </w:r>
          </w:p>
        </w:tc>
        <w:tc>
          <w:tcPr>
            <w:tcW w:type="dxa" w:w="24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Height above sea level</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SRTM / TanDEM-X radar</w:t>
            </w:r>
          </w:p>
        </w:tc>
        <w:tc>
          <w:tcPr>
            <w:tcW w:type="dxa" w:w="15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30 m</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Slope</w:t>
            </w:r>
          </w:p>
        </w:tc>
        <w:tc>
          <w:tcPr>
            <w:tcW w:type="dxa" w:w="24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Terrain steepness</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from DEM</w:t>
            </w:r>
          </w:p>
        </w:tc>
        <w:tc>
          <w:tcPr>
            <w:tcW w:type="dxa" w:w="15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30 m</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Aspect</w:t>
            </w:r>
          </w:p>
        </w:tc>
        <w:tc>
          <w:tcPr>
            <w:tcW w:type="dxa" w:w="24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Hillside orientation</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from DEM</w:t>
            </w:r>
          </w:p>
        </w:tc>
        <w:tc>
          <w:tcPr>
            <w:tcW w:type="dxa" w:w="15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30 m</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4</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Flow Direction</w:t>
            </w:r>
          </w:p>
        </w:tc>
        <w:tc>
          <w:tcPr>
            <w:tcW w:type="dxa" w:w="24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Direction of surface drainage</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D8 algorithm on DEM</w:t>
            </w:r>
          </w:p>
        </w:tc>
        <w:tc>
          <w:tcPr>
            <w:tcW w:type="dxa" w:w="15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30 m</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Flow Accumulation</w:t>
            </w:r>
          </w:p>
        </w:tc>
        <w:tc>
          <w:tcPr>
            <w:tcW w:type="dxa" w:w="24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Upslope contributing area</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D8 algorithm on DEM</w:t>
            </w:r>
          </w:p>
        </w:tc>
        <w:tc>
          <w:tcPr>
            <w:tcW w:type="dxa" w:w="15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30 m</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6</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Drainage Density</w:t>
            </w:r>
          </w:p>
        </w:tc>
        <w:tc>
          <w:tcPr>
            <w:tcW w:type="dxa" w:w="24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Stream length per unit area</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HydroSHEDS / SRTM</w:t>
            </w:r>
          </w:p>
        </w:tc>
        <w:tc>
          <w:tcPr>
            <w:tcW w:type="dxa" w:w="15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30 m</w:t>
            </w:r>
          </w:p>
        </w:tc>
      </w:tr>
    </w:tbl>
    <w:p>
      <w:pPr>
        <w:spacing w:after="80"/>
      </w:pPr>
    </w:p>
    <w:p>
      <w:pPr>
        <w:spacing w:after="120" w:line="320"/>
      </w:pPr>
      <w:r>
        <w:rPr>
          <w:rFonts w:ascii="Arial" w:cs="Arial" w:eastAsia="Arial" w:hAnsi="Arial"/>
          <w:color w:val="1A1A2E"/>
          <w:sz w:val="20"/>
          <w:szCs w:val="20"/>
        </w:rPr>
        <w:t>Interpretation: Water flows downhill. Steep slopes promote aquifer recharge. Flat terrain promotes groundwater discharge. Dense stream networks indicate low-permeability conditions where water stagnates, turns reducing, and releases arsenic from iron-oxyhydroxide minerals.</w:t>
      </w:r>
    </w:p>
    <w:p>
      <w:pPr>
        <w:spacing w:after="120"/>
      </w:pPr>
    </w:p>
    <w:p>
      <w:pPr>
        <w:pStyle w:val="Heading2"/>
        <w:pBdr>
          <w:bottom w:val="single" w:color="007B8A" w:sz="4" w:space="4"/>
        </w:pBdr>
        <w:spacing w:after="120" w:before="320"/>
      </w:pPr>
      <w:r>
        <w:rPr>
          <w:rFonts w:ascii="Arial" w:cs="Arial" w:eastAsia="Arial" w:hAnsi="Arial"/>
          <w:b/>
          <w:bCs/>
          <w:color w:val="007B8A"/>
          <w:sz w:val="26"/>
          <w:szCs w:val="26"/>
        </w:rPr>
        <w:t>4.2 Thermal (Parameters 7–8)</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
        <w:gridCol w:w="2100"/>
        <w:gridCol w:w="2160"/>
        <w:gridCol w:w="2400"/>
        <w:gridCol w:w="1280"/>
      </w:tblGrid>
      <w:tr>
        <w:trPr>
          <w:tblHeader/>
        </w:trPr>
        <w:tc>
          <w:tcPr>
            <w:tcW w:type="dxa" w:w="4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t>
            </w:r>
          </w:p>
        </w:tc>
        <w:tc>
          <w:tcPr>
            <w:tcW w:type="dxa" w:w="21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Parameter</w:t>
            </w:r>
          </w:p>
        </w:tc>
        <w:tc>
          <w:tcPr>
            <w:tcW w:type="dxa" w:w="21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What It Measures</w:t>
            </w:r>
          </w:p>
        </w:tc>
        <w:tc>
          <w:tcPr>
            <w:tcW w:type="dxa" w:w="24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Sensor</w:t>
            </w:r>
          </w:p>
        </w:tc>
        <w:tc>
          <w:tcPr>
            <w:tcW w:type="dxa" w:w="12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Wavelength</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7</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Surface Temperature</w:t>
            </w:r>
          </w:p>
        </w:tc>
        <w:tc>
          <w:tcPr>
            <w:tcW w:type="dxa" w:w="21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Land surface temperature</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ASTER, ECOSTRESS, Landsat</w:t>
            </w:r>
          </w:p>
        </w:tc>
        <w:tc>
          <w:tcPr>
            <w:tcW w:type="dxa" w:w="12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8–14 µm TIR</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8</w:t>
            </w:r>
          </w:p>
        </w:tc>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Thermal Inertia</w:t>
            </w:r>
          </w:p>
        </w:tc>
        <w:tc>
          <w:tcPr>
            <w:tcW w:type="dxa" w:w="21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Resistance to temperature change</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from ASTER diurnal cycle</w:t>
            </w:r>
          </w:p>
        </w:tc>
        <w:tc>
          <w:tcPr>
            <w:tcW w:type="dxa" w:w="12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t>
            </w:r>
          </w:p>
        </w:tc>
      </w:tr>
    </w:tbl>
    <w:p>
      <w:pPr>
        <w:spacing w:after="80"/>
      </w:pPr>
    </w:p>
    <w:p>
      <w:pPr>
        <w:spacing w:after="120" w:line="320"/>
      </w:pPr>
      <w:r>
        <w:rPr>
          <w:rFonts w:ascii="Arial" w:cs="Arial" w:eastAsia="Arial" w:hAnsi="Arial"/>
          <w:color w:val="1A1A2E"/>
          <w:sz w:val="20"/>
          <w:szCs w:val="20"/>
        </w:rPr>
        <w:t>Interpretation: Wet clay soils stay cool during the day; dry sand heats rapidly. Thermal anomalies can indicate geothermal upwelling or subsurface water movement — both associated with elevated arsenic and fluoride.</w:t>
      </w:r>
    </w:p>
    <w:p>
      <w:pPr>
        <w:spacing w:after="120"/>
      </w:pPr>
    </w:p>
    <w:p>
      <w:pPr>
        <w:pStyle w:val="Heading2"/>
        <w:pBdr>
          <w:bottom w:val="single" w:color="007B8A" w:sz="4" w:space="4"/>
        </w:pBdr>
        <w:spacing w:after="120" w:before="320"/>
      </w:pPr>
      <w:r>
        <w:rPr>
          <w:rFonts w:ascii="Arial" w:cs="Arial" w:eastAsia="Arial" w:hAnsi="Arial"/>
          <w:b/>
          <w:bCs/>
          <w:color w:val="007B8A"/>
          <w:sz w:val="26"/>
          <w:szCs w:val="26"/>
        </w:rPr>
        <w:t>4.3 Spectral Mineralogy (Parameters 9–13)</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
        <w:gridCol w:w="1980"/>
        <w:gridCol w:w="1980"/>
        <w:gridCol w:w="2400"/>
        <w:gridCol w:w="1580"/>
      </w:tblGrid>
      <w:tr>
        <w:trPr>
          <w:tblHeader/>
        </w:trPr>
        <w:tc>
          <w:tcPr>
            <w:tcW w:type="dxa" w:w="4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t>
            </w:r>
          </w:p>
        </w:tc>
        <w:tc>
          <w:tcPr>
            <w:tcW w:type="dxa" w:w="19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Parameter</w:t>
            </w:r>
          </w:p>
        </w:tc>
        <w:tc>
          <w:tcPr>
            <w:tcW w:type="dxa" w:w="19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What It Detects</w:t>
            </w:r>
          </w:p>
        </w:tc>
        <w:tc>
          <w:tcPr>
            <w:tcW w:type="dxa" w:w="24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Sensor</w:t>
            </w:r>
          </w:p>
        </w:tc>
        <w:tc>
          <w:tcPr>
            <w:tcW w:type="dxa" w:w="15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Spectral Bands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9</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Iron Oxide Index</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Hematite, goethite, jarosite</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Landsat, Sentinel-2, ASTER</w:t>
            </w:r>
          </w:p>
        </w:tc>
        <w:tc>
          <w:tcPr>
            <w:tcW w:type="dxa" w:w="15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0.5–0.9 µm</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Clay Mineral Index</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Smectite, illite, kaolinite</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ASTER, Sentinel-2</w:t>
            </w:r>
          </w:p>
        </w:tc>
        <w:tc>
          <w:tcPr>
            <w:tcW w:type="dxa" w:w="15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1.9, 2.2 µm SWIR</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11</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Carbonate Index</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Calcite, dolomite</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ASTER, hyperspectral</w:t>
            </w:r>
          </w:p>
        </w:tc>
        <w:tc>
          <w:tcPr>
            <w:tcW w:type="dxa" w:w="15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2.3–2.5 µm</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12</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Sulfate Index</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Gypsum, jarosite, alunite</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ASTER, hyperspectral</w:t>
            </w:r>
          </w:p>
        </w:tc>
        <w:tc>
          <w:tcPr>
            <w:tcW w:type="dxa" w:w="15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2.2–2.5 µm</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13</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Silica/Quartz Index</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Quartz, sandstone</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ASTER, hyperspectral</w:t>
            </w:r>
          </w:p>
        </w:tc>
        <w:tc>
          <w:tcPr>
            <w:tcW w:type="dxa" w:w="15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2.2 µm</w:t>
            </w:r>
          </w:p>
        </w:tc>
      </w:tr>
    </w:tbl>
    <w:p>
      <w:pPr>
        <w:spacing w:after="80"/>
      </w:pPr>
    </w:p>
    <w:p>
      <w:pPr>
        <w:spacing w:after="120" w:line="320"/>
      </w:pPr>
      <w:r>
        <w:rPr>
          <w:rFonts w:ascii="Arial" w:cs="Arial" w:eastAsia="Arial" w:hAnsi="Arial"/>
          <w:color w:val="1A1A2E"/>
          <w:sz w:val="20"/>
          <w:szCs w:val="20"/>
        </w:rPr>
        <w:t>Interpretation: Iron oxides signal oxidising conditions; clay minerals signal low-permeability aquitards that trap and reduce water; carbonates buffer pH; sulfates reveal acid mine drainage; silica signals high-permeability sand aquifers.</w:t>
      </w:r>
    </w:p>
    <w:p>
      <w:pPr>
        <w:spacing w:after="120"/>
      </w:pPr>
    </w:p>
    <w:p>
      <w:pPr>
        <w:pStyle w:val="Heading2"/>
        <w:pBdr>
          <w:bottom w:val="single" w:color="007B8A" w:sz="4" w:space="4"/>
        </w:pBdr>
        <w:spacing w:after="120" w:before="320"/>
      </w:pPr>
      <w:r>
        <w:rPr>
          <w:rFonts w:ascii="Arial" w:cs="Arial" w:eastAsia="Arial" w:hAnsi="Arial"/>
          <w:b/>
          <w:bCs/>
          <w:color w:val="007B8A"/>
          <w:sz w:val="26"/>
          <w:szCs w:val="26"/>
        </w:rPr>
        <w:t>4.4 Vegetation &amp; Surface Water (Parameters 14–16)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340"/>
        <w:gridCol w:w="2100"/>
        <w:gridCol w:w="1980"/>
        <w:gridCol w:w="2520"/>
      </w:tblGrid>
      <w:tr>
        <w:trPr>
          <w:tblHeader/>
        </w:trPr>
        <w:tc>
          <w:tcPr>
            <w:tcW w:type="dxa" w:w="4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t>
            </w:r>
          </w:p>
        </w:tc>
        <w:tc>
          <w:tcPr>
            <w:tcW w:type="dxa" w:w="23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Parameter</w:t>
            </w:r>
          </w:p>
        </w:tc>
        <w:tc>
          <w:tcPr>
            <w:tcW w:type="dxa" w:w="21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What It Detects</w:t>
            </w:r>
          </w:p>
        </w:tc>
        <w:tc>
          <w:tcPr>
            <w:tcW w:type="dxa" w:w="19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Sensor</w:t>
            </w:r>
          </w:p>
        </w:tc>
        <w:tc>
          <w:tcPr>
            <w:tcW w:type="dxa" w:w="25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Method</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14</w:t>
            </w:r>
          </w:p>
        </w:tc>
        <w:tc>
          <w:tcPr>
            <w:tcW w:type="dxa" w:w="23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NDVI / Vegetation Cover</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Plant biomass</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Landsat, Sentinel-2</w:t>
            </w:r>
          </w:p>
        </w:tc>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Red/NIR reflectance ratio</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15</w:t>
            </w:r>
          </w:p>
        </w:tc>
        <w:tc>
          <w:tcPr>
            <w:tcW w:type="dxa" w:w="23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Vegetation Stress / Red Edge</w:t>
            </w:r>
          </w:p>
        </w:tc>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Chlorophyll health</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Sentinel-2</w:t>
            </w:r>
          </w:p>
        </w:tc>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0.7 µm red-edge position</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16</w:t>
            </w:r>
          </w:p>
        </w:tc>
        <w:tc>
          <w:tcPr>
            <w:tcW w:type="dxa" w:w="23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Surface Water Extent</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Open water bodies</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Landsat, Sentinel-2</w:t>
            </w:r>
          </w:p>
        </w:tc>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Visible + NIR reflectance</w:t>
            </w:r>
          </w:p>
        </w:tc>
      </w:tr>
    </w:tbl>
    <w:p>
      <w:pPr>
        <w:spacing w:after="120"/>
      </w:pPr>
    </w:p>
    <w:p>
      <w:pPr>
        <w:pStyle w:val="Heading2"/>
        <w:pBdr>
          <w:bottom w:val="single" w:color="007B8A" w:sz="4" w:space="4"/>
        </w:pBdr>
        <w:spacing w:after="120" w:before="320"/>
      </w:pPr>
      <w:r>
        <w:rPr>
          <w:rFonts w:ascii="Arial" w:cs="Arial" w:eastAsia="Arial" w:hAnsi="Arial"/>
          <w:b/>
          <w:bCs/>
          <w:color w:val="007B8A"/>
          <w:sz w:val="26"/>
          <w:szCs w:val="26"/>
        </w:rPr>
        <w:t>4.5 Deformation &amp; Geophysical (Parameters 17–20)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340"/>
        <w:gridCol w:w="2100"/>
        <w:gridCol w:w="1980"/>
        <w:gridCol w:w="2520"/>
      </w:tblGrid>
      <w:tr>
        <w:trPr>
          <w:tblHeader/>
        </w:trPr>
        <w:tc>
          <w:tcPr>
            <w:tcW w:type="dxa" w:w="4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t>
            </w:r>
          </w:p>
        </w:tc>
        <w:tc>
          <w:tcPr>
            <w:tcW w:type="dxa" w:w="23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Parameter</w:t>
            </w:r>
          </w:p>
        </w:tc>
        <w:tc>
          <w:tcPr>
            <w:tcW w:type="dxa" w:w="21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What It Detects</w:t>
            </w:r>
          </w:p>
        </w:tc>
        <w:tc>
          <w:tcPr>
            <w:tcW w:type="dxa" w:w="19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Sensor</w:t>
            </w:r>
          </w:p>
        </w:tc>
        <w:tc>
          <w:tcPr>
            <w:tcW w:type="dxa" w:w="25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Method</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17</w:t>
            </w:r>
          </w:p>
        </w:tc>
        <w:tc>
          <w:tcPr>
            <w:tcW w:type="dxa" w:w="23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Ground Subsidence</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Vertical land displacement</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Sentinel-1</w:t>
            </w:r>
          </w:p>
        </w:tc>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C-band InSAR</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18</w:t>
            </w:r>
          </w:p>
        </w:tc>
        <w:tc>
          <w:tcPr>
            <w:tcW w:type="dxa" w:w="23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Terrestrial Water Storage</w:t>
            </w:r>
          </w:p>
        </w:tc>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Column water mass</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GRACE-FO</w:t>
            </w:r>
          </w:p>
        </w:tc>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Time-variable gravity</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19</w:t>
            </w:r>
          </w:p>
        </w:tc>
        <w:tc>
          <w:tcPr>
            <w:tcW w:type="dxa" w:w="23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Bouguer Gravity Anomaly</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Density contrast in crust</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GOCE</w:t>
            </w:r>
          </w:p>
        </w:tc>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Static gravity field</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20</w:t>
            </w:r>
          </w:p>
        </w:tc>
        <w:tc>
          <w:tcPr>
            <w:tcW w:type="dxa" w:w="23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Crustal Magnetic Field</w:t>
            </w:r>
          </w:p>
        </w:tc>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Magnetic mineral content</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Swarm</w:t>
            </w:r>
          </w:p>
        </w:tc>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Satellite magnetometry</w:t>
            </w:r>
          </w:p>
        </w:tc>
      </w:tr>
    </w:tbl>
    <w:p>
      <w:pPr>
        <w:spacing w:after="80"/>
      </w:pPr>
    </w:p>
    <w:p>
      <w:pPr>
        <w:spacing w:after="120" w:line="320"/>
      </w:pPr>
      <w:r>
        <w:rPr>
          <w:rFonts w:ascii="Arial" w:cs="Arial" w:eastAsia="Arial" w:hAnsi="Arial"/>
          <w:color w:val="1A1A2E"/>
          <w:sz w:val="20"/>
          <w:szCs w:val="20"/>
        </w:rPr>
        <w:t>Interpretation: Subsidence indicates aquifer compaction from over-pumping. Gravity anomalies reveal sediment thickness and basin depth — deep basins have long residence times and strongly reducing conditions. Magnetic signatures reveal basement rock type; granitic basement is a known source of uranium and arsenic.</w:t>
      </w:r>
    </w:p>
    <w:p>
      <w:pPr>
        <w:spacing w:after="120"/>
      </w:pPr>
    </w:p>
    <w:p>
      <w:pPr>
        <w:pStyle w:val="Heading2"/>
        <w:pBdr>
          <w:bottom w:val="single" w:color="007B8A" w:sz="4" w:space="4"/>
        </w:pBdr>
        <w:spacing w:after="120" w:before="320"/>
      </w:pPr>
      <w:r>
        <w:rPr>
          <w:rFonts w:ascii="Arial" w:cs="Arial" w:eastAsia="Arial" w:hAnsi="Arial"/>
          <w:b/>
          <w:bCs/>
          <w:color w:val="007B8A"/>
          <w:sz w:val="26"/>
          <w:szCs w:val="26"/>
        </w:rPr>
        <w:t>4.6 Geological &amp; Archival (Parameters 21–41)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100"/>
        <w:gridCol w:w="2400"/>
        <w:gridCol w:w="4440"/>
      </w:tblGrid>
      <w:tr>
        <w:trPr>
          <w:tblHeader/>
        </w:trPr>
        <w:tc>
          <w:tcPr>
            <w:tcW w:type="dxa" w:w="4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t>
            </w:r>
          </w:p>
        </w:tc>
        <w:tc>
          <w:tcPr>
            <w:tcW w:type="dxa" w:w="21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Parameter</w:t>
            </w:r>
          </w:p>
        </w:tc>
        <w:tc>
          <w:tcPr>
            <w:tcW w:type="dxa" w:w="24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Source</w:t>
            </w:r>
          </w:p>
        </w:tc>
        <w:tc>
          <w:tcPr>
            <w:tcW w:type="dxa" w:w="44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What It Provides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21</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Bedrock Lithology</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USGS / OneGeology</w:t>
            </w:r>
          </w:p>
        </w:tc>
        <w:tc>
          <w:tcPr>
            <w:tcW w:type="dxa" w:w="44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8-class mineralogy: arsenopyrite-bearing felsics, mafic volcanics, clastics, carbonates, shales, metamorphics, high-risk unconsolidated sediments</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22</w:t>
            </w:r>
          </w:p>
        </w:tc>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Aquifer Type</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Hydrogeological surveys</w:t>
            </w:r>
          </w:p>
        </w:tc>
        <w:tc>
          <w:tcPr>
            <w:tcW w:type="dxa" w:w="44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Confined, unconfined, fractured, alluvial</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23</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Permeability</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Pump tests, literature</w:t>
            </w:r>
          </w:p>
        </w:tc>
        <w:tc>
          <w:tcPr>
            <w:tcW w:type="dxa" w:w="44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Hydraulic conductivity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24</w:t>
            </w:r>
          </w:p>
        </w:tc>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Baseline Redox State</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Aquifer characterisation</w:t>
            </w:r>
          </w:p>
        </w:tc>
        <w:tc>
          <w:tcPr>
            <w:tcW w:type="dxa" w:w="44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Expected oxidising or reducing environment</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25</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Aquifer Thickness</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Borehole logs, geophysical inversion</w:t>
            </w:r>
          </w:p>
        </w:tc>
        <w:tc>
          <w:tcPr>
            <w:tcW w:type="dxa" w:w="44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Saturated zone vertical extent</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26</w:t>
            </w:r>
          </w:p>
        </w:tc>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Depth to Bedrock</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Gravity, seismic, well logs</w:t>
            </w:r>
          </w:p>
        </w:tc>
        <w:tc>
          <w:tcPr>
            <w:tcW w:type="dxa" w:w="44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Sediment thickness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27</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Confining Layer Presence</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Geological cross-sections</w:t>
            </w:r>
          </w:p>
        </w:tc>
        <w:tc>
          <w:tcPr>
            <w:tcW w:type="dxa" w:w="44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Aquitard existence</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28</w:t>
            </w:r>
          </w:p>
        </w:tc>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Porosity</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Core data</w:t>
            </w:r>
          </w:p>
        </w:tc>
        <w:tc>
          <w:tcPr>
            <w:tcW w:type="dxa" w:w="44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Void space fraction</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29</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Transmissivity</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Aquifer test archives</w:t>
            </w:r>
          </w:p>
        </w:tc>
        <w:tc>
          <w:tcPr>
            <w:tcW w:type="dxa" w:w="44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Yield capacity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30</w:t>
            </w:r>
          </w:p>
        </w:tc>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pH Buffering Capacity</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Carbonate content from lithology</w:t>
            </w:r>
          </w:p>
        </w:tc>
        <w:tc>
          <w:tcPr>
            <w:tcW w:type="dxa" w:w="44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Acid neutralising potential</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31</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Residence Time</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Isotope studies, modelling</w:t>
            </w:r>
          </w:p>
        </w:tc>
        <w:tc>
          <w:tcPr>
            <w:tcW w:type="dxa" w:w="44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Water age since recharge</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32</w:t>
            </w:r>
          </w:p>
        </w:tc>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Glaciation Period</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USGS Quaternary Atlas</w:t>
            </w:r>
          </w:p>
        </w:tc>
        <w:tc>
          <w:tcPr>
            <w:tcW w:type="dxa" w:w="44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Timing of last ice coverage</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33</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Glacial Deposit Type</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Quaternary maps</w:t>
            </w:r>
          </w:p>
        </w:tc>
        <w:tc>
          <w:tcPr>
            <w:tcW w:type="dxa" w:w="44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Till vs. outwash vs. lacustrine</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34</w:t>
            </w:r>
          </w:p>
        </w:tc>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Paleoice Thickness</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Glacial reconstructions</w:t>
            </w:r>
          </w:p>
        </w:tc>
        <w:tc>
          <w:tcPr>
            <w:tcW w:type="dxa" w:w="44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Compaction force</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35</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Fault Proximity</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Structural geology databases</w:t>
            </w:r>
          </w:p>
        </w:tc>
        <w:tc>
          <w:tcPr>
            <w:tcW w:type="dxa" w:w="44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Distance to nearest fault trace</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36</w:t>
            </w:r>
          </w:p>
        </w:tc>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Tectonic Activity</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Seismotectonic maps</w:t>
            </w:r>
          </w:p>
        </w:tc>
        <w:tc>
          <w:tcPr>
            <w:tcW w:type="dxa" w:w="44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Stress regime</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37</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Fold Proximity</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Structural geology</w:t>
            </w:r>
          </w:p>
        </w:tc>
        <w:tc>
          <w:tcPr>
            <w:tcW w:type="dxa" w:w="44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Distance to anticline/syncline</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38</w:t>
            </w:r>
          </w:p>
        </w:tc>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Lineament Density</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Satellite interpretation</w:t>
            </w:r>
          </w:p>
        </w:tc>
        <w:tc>
          <w:tcPr>
            <w:tcW w:type="dxa" w:w="44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Fracture network intensity</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39</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Seismic Hazard</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USGS seismic hazard maps</w:t>
            </w:r>
          </w:p>
        </w:tc>
        <w:tc>
          <w:tcPr>
            <w:tcW w:type="dxa" w:w="44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Expected ground acceleration</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40</w:t>
            </w:r>
          </w:p>
        </w:tc>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Well Depth</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Well completion reports</w:t>
            </w:r>
          </w:p>
        </w:tc>
        <w:tc>
          <w:tcPr>
            <w:tcW w:type="dxa" w:w="44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Drilled depth</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41</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Well Coordinates</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GPS surveys, registries</w:t>
            </w:r>
          </w:p>
        </w:tc>
        <w:tc>
          <w:tcPr>
            <w:tcW w:type="dxa" w:w="44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Latitude/longitude</w:t>
            </w:r>
          </w:p>
        </w:tc>
      </w:tr>
    </w:tbl>
    <w:p>
      <w:pPr>
        <w:spacing w:after="200"/>
      </w:pPr>
    </w:p>
    <w:p>
      <w:r/>
    </w:p>
    <w:p>
      <w:pPr>
        <w:pStyle w:val="Heading1"/>
        <w:spacing w:after="160" w:before="480"/>
      </w:pPr>
      <w:r>
        <w:rPr>
          <w:rFonts w:ascii="Arial" w:cs="Arial" w:eastAsia="Arial" w:hAnsi="Arial"/>
          <w:b/>
          <w:bCs/>
          <w:color w:val="0A2342"/>
          <w:sz w:val="36"/>
          <w:szCs w:val="36"/>
        </w:rPr>
        <w:t>5. Phase 2 — Onsite Dip Test (5 Parameters)</w:t>
      </w:r>
    </w:p>
    <w:p>
      <w:pPr>
        <w:spacing w:after="120" w:line="320"/>
      </w:pPr>
      <w:r>
        <w:rPr>
          <w:rFonts w:ascii="Arial" w:cs="Arial" w:eastAsia="Arial" w:hAnsi="Arial"/>
          <w:color w:val="1A1A2E"/>
          <w:sz w:val="20"/>
          <w:szCs w:val="20"/>
        </w:rPr>
        <w:t>Phase 2 requires a community health worker to visit a flagged well and dip a multiplexed paper strip for 30 seconds. Lyophilised reagents rehydrate and react over 10–30 minutes. The smartphone app photographs the strip, corrects for ambient lighting using the reference zone, and uploads a GPS-tagged result.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620"/>
        <w:gridCol w:w="1800"/>
        <w:gridCol w:w="2880"/>
        <w:gridCol w:w="2640"/>
      </w:tblGrid>
      <w:tr>
        <w:trPr>
          <w:tblHeader/>
        </w:trPr>
        <w:tc>
          <w:tcPr>
            <w:tcW w:type="dxa" w:w="4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t>
            </w:r>
          </w:p>
        </w:tc>
        <w:tc>
          <w:tcPr>
            <w:tcW w:type="dxa" w:w="16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Parameter</w:t>
            </w:r>
          </w:p>
        </w:tc>
        <w:tc>
          <w:tcPr>
            <w:tcW w:type="dxa" w:w="18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What It Measures</w:t>
            </w:r>
          </w:p>
        </w:tc>
        <w:tc>
          <w:tcPr>
            <w:tcW w:type="dxa" w:w="28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Detection Chemistry</w:t>
            </w:r>
          </w:p>
        </w:tc>
        <w:tc>
          <w:tcPr>
            <w:tcW w:type="dxa" w:w="26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Output</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42</w:t>
            </w:r>
          </w:p>
        </w:tc>
        <w:tc>
          <w:tcPr>
            <w:tcW w:type="dxa" w:w="16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Arsenic (Total)</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Dissolved As(III) + As(V)</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ArsR transcription factor + ß-galactosidase reporter; or gold nanoparticle aggregation</w:t>
            </w:r>
          </w:p>
        </w:tc>
        <w:tc>
          <w:tcPr>
            <w:tcW w:type="dxa" w:w="26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Colour change ∝ concentration</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43</w:t>
            </w:r>
          </w:p>
        </w:tc>
        <w:tc>
          <w:tcPr>
            <w:tcW w:type="dxa" w:w="16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Iron (Fe²⁺/Fe³⁺)</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Dissolved iron species</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Ferrozine complex (magenta) or 1,10-phenanthroline</w:t>
            </w:r>
          </w:p>
        </w:tc>
        <w:tc>
          <w:tcPr>
            <w:tcW w:type="dxa" w:w="26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Intensity indicates redox state</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44</w:t>
            </w:r>
          </w:p>
        </w:tc>
        <w:tc>
          <w:tcPr>
            <w:tcW w:type="dxa" w:w="16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Manganese (Mn²⁺)</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Dissolved manganese</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Formaldoxime complex or periodate oxidation</w:t>
            </w:r>
          </w:p>
        </w:tc>
        <w:tc>
          <w:tcPr>
            <w:tcW w:type="dxa" w:w="26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Indicates reducing conditions</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45</w:t>
            </w:r>
          </w:p>
        </w:tc>
        <w:tc>
          <w:tcPr>
            <w:tcW w:type="dxa" w:w="16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pH</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Hydrogen ion activity</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Universal indicator blend or anthocyanin extract</w:t>
            </w:r>
          </w:p>
        </w:tc>
        <w:tc>
          <w:tcPr>
            <w:tcW w:type="dxa" w:w="26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Colour spectrum: red (acid) to purple (base)</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46</w:t>
            </w:r>
          </w:p>
        </w:tc>
        <w:tc>
          <w:tcPr>
            <w:tcW w:type="dxa" w:w="16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Reference / Control</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Image calibration</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Inert dye standard + turbidity blank</w:t>
            </w:r>
          </w:p>
        </w:tc>
        <w:tc>
          <w:tcPr>
            <w:tcW w:type="dxa" w:w="26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Corrects ambient light &amp; camera variance</w:t>
            </w:r>
          </w:p>
        </w:tc>
      </w:tr>
    </w:tbl>
    <w:p>
      <w:pPr>
        <w:spacing w:after="200"/>
      </w:pPr>
    </w:p>
    <w:p>
      <w:r/>
    </w:p>
    <w:p>
      <w:pPr>
        <w:pStyle w:val="Heading1"/>
        <w:spacing w:after="160" w:before="480"/>
      </w:pPr>
      <w:r>
        <w:rPr>
          <w:rFonts w:ascii="Arial" w:cs="Arial" w:eastAsia="Arial" w:hAnsi="Arial"/>
          <w:b/>
          <w:bCs/>
          <w:color w:val="0A2342"/>
          <w:sz w:val="36"/>
          <w:szCs w:val="36"/>
        </w:rPr>
        <w:t>6. Derived Mathematical Parameters (27)</w:t>
      </w:r>
    </w:p>
    <w:p>
      <w:pPr>
        <w:spacing w:after="120" w:line="320"/>
      </w:pPr>
      <w:r>
        <w:rPr>
          <w:rFonts w:ascii="Arial" w:cs="Arial" w:eastAsia="Arial" w:hAnsi="Arial"/>
          <w:color w:val="1A1A2E"/>
          <w:sz w:val="20"/>
          <w:szCs w:val="20"/>
        </w:rPr>
        <w:t>The following 27 parameters are computed from the 46 base parameters. No additional measurement is required. They are the mathematical engine that gives its performance advantage over conventional models.</w:t>
      </w:r>
    </w:p>
    <w:p>
      <w:pPr>
        <w:spacing w:after="80"/>
      </w:pPr>
    </w:p>
    <w:p>
      <w:pPr>
        <w:pStyle w:val="Heading2"/>
        <w:pBdr>
          <w:bottom w:val="single" w:color="007B8A" w:sz="4" w:space="4"/>
        </w:pBdr>
        <w:spacing w:after="120" w:before="320"/>
      </w:pPr>
      <w:r>
        <w:rPr>
          <w:rFonts w:ascii="Arial" w:cs="Arial" w:eastAsia="Arial" w:hAnsi="Arial"/>
          <w:b/>
          <w:bCs/>
          <w:color w:val="007B8A"/>
          <w:sz w:val="26"/>
          <w:szCs w:val="26"/>
        </w:rPr>
        <w:t>6.1 Topological Data Analysis — TDA (Parameters 47–53)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340"/>
        <w:gridCol w:w="2400"/>
        <w:gridCol w:w="4200"/>
      </w:tblGrid>
      <w:tr>
        <w:trPr>
          <w:tblHeader/>
        </w:trPr>
        <w:tc>
          <w:tcPr>
            <w:tcW w:type="dxa" w:w="4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t>
            </w:r>
          </w:p>
        </w:tc>
        <w:tc>
          <w:tcPr>
            <w:tcW w:type="dxa" w:w="23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Parameter</w:t>
            </w:r>
          </w:p>
        </w:tc>
        <w:tc>
          <w:tcPr>
            <w:tcW w:type="dxa" w:w="24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Input Data</w:t>
            </w:r>
          </w:p>
        </w:tc>
        <w:tc>
          <w:tcPr>
            <w:tcW w:type="dxa" w:w="42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What It Represents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47</w:t>
            </w:r>
          </w:p>
        </w:tc>
        <w:tc>
          <w:tcPr>
            <w:tcW w:type="dxa" w:w="23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H0 Persistence Proxy</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Well coordinates, inter-well distances</w:t>
            </w:r>
          </w:p>
        </w:tc>
        <w:tc>
          <w:tcPr>
            <w:tcW w:type="dxa" w:w="4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Clustering scale of contamination</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48</w:t>
            </w:r>
          </w:p>
        </w:tc>
        <w:tc>
          <w:tcPr>
            <w:tcW w:type="dxa" w:w="23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H1 Cycle Proxy</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Well coordinate network</w:t>
            </w:r>
          </w:p>
        </w:tc>
        <w:tc>
          <w:tcPr>
            <w:tcW w:type="dxa" w:w="42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Circular connectivity / flow loops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49</w:t>
            </w:r>
          </w:p>
        </w:tc>
        <w:tc>
          <w:tcPr>
            <w:tcW w:type="dxa" w:w="23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Persistence Entropy</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Well distances</w:t>
            </w:r>
          </w:p>
        </w:tc>
        <w:tc>
          <w:tcPr>
            <w:tcW w:type="dxa" w:w="4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pattern complexity / disorder</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50</w:t>
            </w:r>
          </w:p>
        </w:tc>
        <w:tc>
          <w:tcPr>
            <w:tcW w:type="dxa" w:w="23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Wasserstein Distance Proxy</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Well coordinates + contamination labels</w:t>
            </w:r>
          </w:p>
        </w:tc>
        <w:tc>
          <w:tcPr>
            <w:tcW w:type="dxa" w:w="42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Anomaly magnitude vs. regional pattern</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51</w:t>
            </w:r>
          </w:p>
        </w:tc>
        <w:tc>
          <w:tcPr>
            <w:tcW w:type="dxa" w:w="23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Betti Statistics</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Well network graphs</w:t>
            </w:r>
          </w:p>
        </w:tc>
        <w:tc>
          <w:tcPr>
            <w:tcW w:type="dxa" w:w="4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Multi-scale topological structure</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52</w:t>
            </w:r>
          </w:p>
        </w:tc>
        <w:tc>
          <w:tcPr>
            <w:tcW w:type="dxa" w:w="23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Local Homology Proxy</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Neighbourhood connectivity</w:t>
            </w:r>
          </w:p>
        </w:tc>
        <w:tc>
          <w:tcPr>
            <w:tcW w:type="dxa" w:w="42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Short-range vs. long-range clustering</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53</w:t>
            </w:r>
          </w:p>
        </w:tc>
        <w:tc>
          <w:tcPr>
            <w:tcW w:type="dxa" w:w="23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Neighbour Distance Variability</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k-NN distances</w:t>
            </w:r>
          </w:p>
        </w:tc>
        <w:tc>
          <w:tcPr>
            <w:tcW w:type="dxa" w:w="4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Spatial randomness vs. regularity</w:t>
            </w:r>
          </w:p>
        </w:tc>
      </w:tr>
    </w:tbl>
    <w:p>
      <w:pPr>
        <w:spacing w:after="120"/>
      </w:pPr>
    </w:p>
    <w:p>
      <w:pPr>
        <w:pStyle w:val="Heading2"/>
        <w:pBdr>
          <w:bottom w:val="single" w:color="007B8A" w:sz="4" w:space="4"/>
        </w:pBdr>
        <w:spacing w:after="120" w:before="320"/>
      </w:pPr>
      <w:r>
        <w:rPr>
          <w:rFonts w:ascii="Arial" w:cs="Arial" w:eastAsia="Arial" w:hAnsi="Arial"/>
          <w:b/>
          <w:bCs/>
          <w:color w:val="007B8A"/>
          <w:sz w:val="26"/>
          <w:szCs w:val="26"/>
        </w:rPr>
        <w:t>6.2 Information Geometry (Parameters 54–59)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340"/>
        <w:gridCol w:w="3000"/>
        <w:gridCol w:w="3600"/>
      </w:tblGrid>
      <w:tr>
        <w:trPr>
          <w:tblHeader/>
        </w:trPr>
        <w:tc>
          <w:tcPr>
            <w:tcW w:type="dxa" w:w="4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t>
            </w:r>
          </w:p>
        </w:tc>
        <w:tc>
          <w:tcPr>
            <w:tcW w:type="dxa" w:w="23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Parameter</w:t>
            </w:r>
          </w:p>
        </w:tc>
        <w:tc>
          <w:tcPr>
            <w:tcW w:type="dxa" w:w="30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Formula / Method</w:t>
            </w:r>
          </w:p>
        </w:tc>
        <w:tc>
          <w:tcPr>
            <w:tcW w:type="dxa" w:w="36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What It Represents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54</w:t>
            </w:r>
          </w:p>
        </w:tc>
        <w:tc>
          <w:tcPr>
            <w:tcW w:type="dxa" w:w="23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Fisher Information</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I(p) = 1/(p(1−p)) for local contamination rate</w:t>
            </w:r>
          </w:p>
        </w:tc>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Information content of local distribution</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55</w:t>
            </w:r>
          </w:p>
        </w:tc>
        <w:tc>
          <w:tcPr>
            <w:tcW w:type="dxa" w:w="23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KL Divergence</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Relative entropy between local and global KDE</w:t>
            </w:r>
          </w:p>
        </w:tc>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How anomalous is the local chemistry</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56</w:t>
            </w:r>
          </w:p>
        </w:tc>
        <w:tc>
          <w:tcPr>
            <w:tcW w:type="dxa" w:w="23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Bhattacharyya Distance</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Statistical overlap integral</w:t>
            </w:r>
          </w:p>
        </w:tc>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Distribution similarity / dissimilarity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57</w:t>
            </w:r>
          </w:p>
        </w:tc>
        <w:tc>
          <w:tcPr>
            <w:tcW w:type="dxa" w:w="23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Hellinger Distance</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Euclidean norm of sqrt(P)−sqrt(Q)</w:t>
            </w:r>
          </w:p>
        </w:tc>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Distributional divergence</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58</w:t>
            </w:r>
          </w:p>
        </w:tc>
        <w:tc>
          <w:tcPr>
            <w:tcW w:type="dxa" w:w="23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Neighbourhood Curvature</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Rate gradient: inner vs. outer neighbourhood</w:t>
            </w:r>
          </w:p>
        </w:tc>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Local geochemical anomaly boundary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59</w:t>
            </w:r>
          </w:p>
        </w:tc>
        <w:tc>
          <w:tcPr>
            <w:tcW w:type="dxa" w:w="23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Composite Information Score</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Weighted aggregation of 54–58</w:t>
            </w:r>
          </w:p>
        </w:tc>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Overall anomaly strength</w:t>
            </w:r>
          </w:p>
        </w:tc>
      </w:tr>
    </w:tbl>
    <w:p>
      <w:pPr>
        <w:spacing w:after="120"/>
      </w:pPr>
    </w:p>
    <w:p>
      <w:pPr>
        <w:pStyle w:val="Heading2"/>
        <w:pBdr>
          <w:bottom w:val="single" w:color="007B8A" w:sz="4" w:space="4"/>
        </w:pBdr>
        <w:spacing w:after="120" w:before="320"/>
      </w:pPr>
      <w:r>
        <w:rPr>
          <w:rFonts w:ascii="Arial" w:cs="Arial" w:eastAsia="Arial" w:hAnsi="Arial"/>
          <w:b/>
          <w:bCs/>
          <w:color w:val="007B8A"/>
          <w:sz w:val="26"/>
          <w:szCs w:val="26"/>
        </w:rPr>
        <w:t>6.3 Spatial Graph Theory (Parameters 60–65)</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20"/>
        <w:gridCol w:w="2100"/>
        <w:gridCol w:w="2880"/>
        <w:gridCol w:w="4060"/>
      </w:tblGrid>
      <w:tr>
        <w:trPr>
          <w:tblHeader/>
        </w:trPr>
        <w:tc>
          <w:tcPr>
            <w:tcW w:type="dxa" w:w="4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t>
            </w:r>
          </w:p>
        </w:tc>
        <w:tc>
          <w:tcPr>
            <w:tcW w:type="dxa" w:w="21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Parameter</w:t>
            </w:r>
          </w:p>
        </w:tc>
        <w:tc>
          <w:tcPr>
            <w:tcW w:type="dxa" w:w="28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Graph Method</w:t>
            </w:r>
          </w:p>
        </w:tc>
        <w:tc>
          <w:tcPr>
            <w:tcW w:type="dxa" w:w="40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What It Represents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60</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PageRank Centrality</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Eigenvector of flow-weighted adjacency matrix</w:t>
            </w:r>
          </w:p>
        </w:tc>
        <w:tc>
          <w:tcPr>
            <w:tcW w:type="dxa" w:w="40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Hydrological influence of a well</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61</w:t>
            </w:r>
          </w:p>
        </w:tc>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Betweenness Centrality</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Shortest path frequency</w:t>
            </w:r>
          </w:p>
        </w:tc>
        <w:tc>
          <w:tcPr>
            <w:tcW w:type="dxa" w:w="40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Bottleneck / gateway wells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62</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Closeness Centrality</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Inverse sum of shortest paths</w:t>
            </w:r>
          </w:p>
        </w:tc>
        <w:tc>
          <w:tcPr>
            <w:tcW w:type="dxa" w:w="40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Access to regional contamination</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63</w:t>
            </w:r>
          </w:p>
        </w:tc>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Eigenvector Centrality</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Recursive influence scoring</w:t>
            </w:r>
          </w:p>
        </w:tc>
        <w:tc>
          <w:tcPr>
            <w:tcW w:type="dxa" w:w="40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Network importance</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64</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Local Clustering Coefficient</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Triangle density</w:t>
            </w:r>
          </w:p>
        </w:tc>
        <w:tc>
          <w:tcPr>
            <w:tcW w:type="dxa" w:w="40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Local connectivity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65</w:t>
            </w:r>
          </w:p>
        </w:tc>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Contamination-Flow Score</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Weighted path integration</w:t>
            </w:r>
          </w:p>
        </w:tc>
        <w:tc>
          <w:tcPr>
            <w:tcW w:type="dxa" w:w="40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Likelihood of transport to this well</w:t>
            </w:r>
          </w:p>
        </w:tc>
      </w:tr>
    </w:tbl>
    <w:p>
      <w:pPr>
        <w:spacing w:after="120"/>
      </w:pPr>
    </w:p>
    <w:p>
      <w:pPr>
        <w:pStyle w:val="Heading2"/>
        <w:pBdr>
          <w:bottom w:val="single" w:color="007B8A" w:sz="4" w:space="4"/>
        </w:pBdr>
        <w:spacing w:after="120" w:before="320"/>
      </w:pPr>
      <w:r>
        <w:rPr>
          <w:rFonts w:ascii="Arial" w:cs="Arial" w:eastAsia="Arial" w:hAnsi="Arial"/>
          <w:b/>
          <w:bCs/>
          <w:color w:val="007B8A"/>
          <w:sz w:val="26"/>
          <w:szCs w:val="26"/>
        </w:rPr>
        <w:t>6.4 Spatial Analysis (Parameters 66–68)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100"/>
        <w:gridCol w:w="3000"/>
        <w:gridCol w:w="3840"/>
      </w:tblGrid>
      <w:tr>
        <w:trPr>
          <w:tblHeader/>
        </w:trPr>
        <w:tc>
          <w:tcPr>
            <w:tcW w:type="dxa" w:w="4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t>
            </w:r>
          </w:p>
        </w:tc>
        <w:tc>
          <w:tcPr>
            <w:tcW w:type="dxa" w:w="21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Parameter</w:t>
            </w:r>
          </w:p>
        </w:tc>
        <w:tc>
          <w:tcPr>
            <w:tcW w:type="dxa" w:w="30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Method</w:t>
            </w:r>
          </w:p>
        </w:tc>
        <w:tc>
          <w:tcPr>
            <w:tcW w:type="dxa" w:w="38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What It Represents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66</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Box-Counting Dimension</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log(N) vs. log(1/r) for contaminated wells</w:t>
            </w:r>
          </w:p>
        </w:tc>
        <w:tc>
          <w:tcPr>
            <w:tcW w:type="dxa" w:w="38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Spatial clustering spatiality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67</w:t>
            </w:r>
          </w:p>
        </w:tc>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Hurst Exponent</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Multispatial DFA</w:t>
            </w:r>
          </w:p>
        </w:tc>
        <w:tc>
          <w:tcPr>
            <w:tcW w:type="dxa" w:w="38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Long-range correlation, persistence</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68</w:t>
            </w:r>
          </w:p>
        </w:tc>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Multispatial Spectrum Width</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Singularity spectrum</w:t>
            </w:r>
          </w:p>
        </w:tc>
        <w:tc>
          <w:tcPr>
            <w:tcW w:type="dxa" w:w="38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Heterogeneity of clustering intensity</w:t>
            </w:r>
          </w:p>
        </w:tc>
      </w:tr>
    </w:tbl>
    <w:p>
      <w:pPr>
        <w:spacing w:after="120"/>
      </w:pPr>
    </w:p>
    <w:p>
      <w:pPr>
        <w:pStyle w:val="Heading2"/>
        <w:pBdr>
          <w:bottom w:val="single" w:color="007B8A" w:sz="4" w:space="4"/>
        </w:pBdr>
        <w:spacing w:after="120" w:before="320"/>
      </w:pPr>
      <w:r>
        <w:rPr>
          <w:rFonts w:ascii="Arial" w:cs="Arial" w:eastAsia="Arial" w:hAnsi="Arial"/>
          <w:b/>
          <w:bCs/>
          <w:color w:val="007B8A"/>
          <w:sz w:val="26"/>
          <w:szCs w:val="26"/>
        </w:rPr>
        <w:t>6.5 Composite Interaction Features (Parameters 69–73)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340"/>
        <w:gridCol w:w="2400"/>
        <w:gridCol w:w="4200"/>
      </w:tblGrid>
      <w:tr>
        <w:trPr>
          <w:tblHeader/>
        </w:trPr>
        <w:tc>
          <w:tcPr>
            <w:tcW w:type="dxa" w:w="4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t>
            </w:r>
          </w:p>
        </w:tc>
        <w:tc>
          <w:tcPr>
            <w:tcW w:type="dxa" w:w="23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Parameter</w:t>
            </w:r>
          </w:p>
        </w:tc>
        <w:tc>
          <w:tcPr>
            <w:tcW w:type="dxa" w:w="24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Components</w:t>
            </w:r>
          </w:p>
        </w:tc>
        <w:tc>
          <w:tcPr>
            <w:tcW w:type="dxa" w:w="42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What It Represents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69</w:t>
            </w:r>
          </w:p>
        </w:tc>
        <w:tc>
          <w:tcPr>
            <w:tcW w:type="dxa" w:w="23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Permeability-Redox Interaction</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Permeability × Redox state</w:t>
            </w:r>
          </w:p>
        </w:tc>
        <w:tc>
          <w:tcPr>
            <w:tcW w:type="dxa" w:w="4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Mobilisation potential</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70</w:t>
            </w:r>
          </w:p>
        </w:tc>
        <w:tc>
          <w:tcPr>
            <w:tcW w:type="dxa" w:w="23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Age-Residence Interaction</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Glacial age × Residence time</w:t>
            </w:r>
          </w:p>
        </w:tc>
        <w:tc>
          <w:tcPr>
            <w:tcW w:type="dxa" w:w="42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Reaction progress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71</w:t>
            </w:r>
          </w:p>
        </w:tc>
        <w:tc>
          <w:tcPr>
            <w:tcW w:type="dxa" w:w="23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Geochemical Favourability Index</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Lithology + chemistry proxies</w:t>
            </w:r>
          </w:p>
        </w:tc>
        <w:tc>
          <w:tcPr>
            <w:tcW w:type="dxa" w:w="4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Overall risk potential</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72</w:t>
            </w:r>
          </w:p>
        </w:tc>
        <w:tc>
          <w:tcPr>
            <w:tcW w:type="dxa" w:w="23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Arsenic Source Potential</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Lithology + mineralogy scoring</w:t>
            </w:r>
          </w:p>
        </w:tc>
        <w:tc>
          <w:tcPr>
            <w:tcW w:type="dxa" w:w="42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Source term strength</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73</w:t>
            </w:r>
          </w:p>
        </w:tc>
        <w:tc>
          <w:tcPr>
            <w:tcW w:type="dxa" w:w="23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Mobilisation-Transport Potential</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Redox + pH + Permeability + Gradient</w:t>
            </w:r>
          </w:p>
        </w:tc>
        <w:tc>
          <w:tcPr>
            <w:tcW w:type="dxa" w:w="4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Kinetic release + advective flux</w:t>
            </w:r>
          </w:p>
        </w:tc>
      </w:tr>
    </w:tbl>
    <w:p>
      <w:pPr>
        <w:spacing w:after="200"/>
      </w:pPr>
    </w:p>
    <w:p>
      <w:r/>
    </w:p>
    <w:p>
      <w:pPr>
        <w:pStyle w:val="Heading1"/>
        <w:spacing w:after="160" w:before="480"/>
      </w:pPr>
      <w:r>
        <w:rPr>
          <w:rFonts w:ascii="Arial" w:cs="Arial" w:eastAsia="Arial" w:hAnsi="Arial"/>
          <w:b/>
          <w:bCs/>
          <w:color w:val="0A2342"/>
          <w:sz w:val="36"/>
          <w:szCs w:val="36"/>
        </w:rPr>
        <w:t>7. What Thalassos Can Detect</w:t>
      </w:r>
    </w:p>
    <w:p>
      <w:pPr>
        <w:spacing w:after="120" w:line="320"/>
      </w:pPr>
      <w:r>
        <w:rPr>
          <w:rFonts w:ascii="Arial" w:cs="Arial" w:eastAsia="Arial" w:hAnsi="Arial"/>
          <w:color w:val="1A1A2E"/>
          <w:sz w:val="20"/>
          <w:szCs w:val="20"/>
        </w:rPr>
        <w:t>'s multi-parameter framework enables detection far beyond arsenic. The following catalogues every substance, resource, and environmental condition the system can identify across its two phases.</w:t>
      </w:r>
    </w:p>
    <w:p>
      <w:pPr>
        <w:spacing w:after="80"/>
      </w:pPr>
    </w:p>
    <w:p>
      <w:pPr>
        <w:pStyle w:val="Heading2"/>
        <w:pBdr>
          <w:bottom w:val="single" w:color="007B8A" w:sz="4" w:space="4"/>
        </w:pBdr>
        <w:spacing w:after="120" w:before="320"/>
      </w:pPr>
      <w:r>
        <w:rPr>
          <w:rFonts w:ascii="Arial" w:cs="Arial" w:eastAsia="Arial" w:hAnsi="Arial"/>
          <w:b/>
          <w:bCs/>
          <w:color w:val="007B8A"/>
          <w:sz w:val="26"/>
          <w:szCs w:val="26"/>
        </w:rPr>
        <w:t>7.1 Directly Measured by Paper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1560"/>
        <w:gridCol w:w="2700"/>
      </w:tblGrid>
      <w:tr>
        <w:trPr>
          <w:tblHeader/>
        </w:trPr>
        <w:tc>
          <w:tcPr>
            <w:tcW w:type="dxa" w:w="21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Substance</w:t>
            </w:r>
          </w:p>
        </w:tc>
        <w:tc>
          <w:tcPr>
            <w:tcW w:type="dxa" w:w="30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Detection Chemistry</w:t>
            </w:r>
          </w:p>
        </w:tc>
        <w:tc>
          <w:tcPr>
            <w:tcW w:type="dxa" w:w="15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Cost to Add</w:t>
            </w:r>
          </w:p>
        </w:tc>
        <w:tc>
          <w:tcPr>
            <w:tcW w:type="dxa" w:w="27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Status</w:t>
            </w:r>
          </w:p>
        </w:tc>
      </w:tr>
      <w:tr>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Arsenic (As)</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ArsR synbio or gold nanoparticles</w:t>
            </w:r>
          </w:p>
        </w:tc>
        <w:tc>
          <w:tcPr>
            <w:tcW w:type="dxa" w:w="1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Baseline</w:t>
            </w:r>
          </w:p>
        </w:tc>
        <w:tc>
          <w:tcPr>
            <w:tcW w:type="dxa" w:w="27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Deployed</w:t>
            </w:r>
          </w:p>
        </w:tc>
      </w:tr>
      <w:tr>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Iron (Fe²⁺/Fe³⁺)</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Ferrozine / phenanthroline</w:t>
            </w:r>
          </w:p>
        </w:tc>
        <w:tc>
          <w:tcPr>
            <w:tcW w:type="dxa" w:w="1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Baseline</w:t>
            </w:r>
          </w:p>
        </w:tc>
        <w:tc>
          <w:tcPr>
            <w:tcW w:type="dxa" w:w="27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Deployed</w:t>
            </w:r>
          </w:p>
        </w:tc>
      </w:tr>
      <w:tr>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Manganese (Mn²⁺)</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Formaldoxime / periodate</w:t>
            </w:r>
          </w:p>
        </w:tc>
        <w:tc>
          <w:tcPr>
            <w:tcW w:type="dxa" w:w="1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Baseline</w:t>
            </w:r>
          </w:p>
        </w:tc>
        <w:tc>
          <w:tcPr>
            <w:tcW w:type="dxa" w:w="27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Deployed</w:t>
            </w:r>
          </w:p>
        </w:tc>
      </w:tr>
      <w:tr>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pH</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Universal indicator / anthocyanin</w:t>
            </w:r>
          </w:p>
        </w:tc>
        <w:tc>
          <w:tcPr>
            <w:tcW w:type="dxa" w:w="1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Baseline</w:t>
            </w:r>
          </w:p>
        </w:tc>
        <w:tc>
          <w:tcPr>
            <w:tcW w:type="dxa" w:w="27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Deployed</w:t>
            </w:r>
          </w:p>
        </w:tc>
      </w:tr>
      <w:tr>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Calcium (Ca²⁺)</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o-Cresolphthalein complexone</w:t>
            </w:r>
          </w:p>
        </w:tc>
        <w:tc>
          <w:tcPr>
            <w:tcW w:type="dxa" w:w="1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+$0.05</w:t>
            </w:r>
          </w:p>
        </w:tc>
        <w:tc>
          <w:tcPr>
            <w:tcW w:type="dxa" w:w="27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Mature</w:t>
            </w:r>
          </w:p>
        </w:tc>
      </w:tr>
      <w:tr>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Magnesium (Mg²⁺)</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Xylidyl blue / Calmagite</w:t>
            </w:r>
          </w:p>
        </w:tc>
        <w:tc>
          <w:tcPr>
            <w:tcW w:type="dxa" w:w="1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+$0.05</w:t>
            </w:r>
          </w:p>
        </w:tc>
        <w:tc>
          <w:tcPr>
            <w:tcW w:type="dxa" w:w="27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Mature</w:t>
            </w:r>
          </w:p>
        </w:tc>
      </w:tr>
      <w:tr>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Total Hardness</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EDTA titration on paper</w:t>
            </w:r>
          </w:p>
        </w:tc>
        <w:tc>
          <w:tcPr>
            <w:tcW w:type="dxa" w:w="1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+$0.05</w:t>
            </w:r>
          </w:p>
        </w:tc>
        <w:tc>
          <w:tcPr>
            <w:tcW w:type="dxa" w:w="27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Mature</w:t>
            </w:r>
          </w:p>
        </w:tc>
      </w:tr>
      <w:tr>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Sulfate (SO₄²⁻)</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Barium chloride turbidity</w:t>
            </w:r>
          </w:p>
        </w:tc>
        <w:tc>
          <w:tcPr>
            <w:tcW w:type="dxa" w:w="1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+$0.03</w:t>
            </w:r>
          </w:p>
        </w:tc>
        <w:tc>
          <w:tcPr>
            <w:tcW w:type="dxa" w:w="27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Mature</w:t>
            </w:r>
          </w:p>
        </w:tc>
      </w:tr>
      <w:tr>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Chloride (Cl⁻)</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Silver chromate</w:t>
            </w:r>
          </w:p>
        </w:tc>
        <w:tc>
          <w:tcPr>
            <w:tcW w:type="dxa" w:w="1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+$0.03</w:t>
            </w:r>
          </w:p>
        </w:tc>
        <w:tc>
          <w:tcPr>
            <w:tcW w:type="dxa" w:w="27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Mature</w:t>
            </w:r>
          </w:p>
        </w:tc>
      </w:tr>
      <w:tr>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Nitrate (NO₃⁻)</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Cadmium reduction + Griess</w:t>
            </w:r>
          </w:p>
        </w:tc>
        <w:tc>
          <w:tcPr>
            <w:tcW w:type="dxa" w:w="1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+$0.05</w:t>
            </w:r>
          </w:p>
        </w:tc>
        <w:tc>
          <w:tcPr>
            <w:tcW w:type="dxa" w:w="27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Mature</w:t>
            </w:r>
          </w:p>
        </w:tc>
      </w:tr>
      <w:tr>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Nitrite (NO₂⁻)</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Griess direct</w:t>
            </w:r>
          </w:p>
        </w:tc>
        <w:tc>
          <w:tcPr>
            <w:tcW w:type="dxa" w:w="1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+$0.03</w:t>
            </w:r>
          </w:p>
        </w:tc>
        <w:tc>
          <w:tcPr>
            <w:tcW w:type="dxa" w:w="27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Mature</w:t>
            </w:r>
          </w:p>
        </w:tc>
      </w:tr>
      <w:tr>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Phosphate (PO₄³⁻)</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Molybdenum blue</w:t>
            </w:r>
          </w:p>
        </w:tc>
        <w:tc>
          <w:tcPr>
            <w:tcW w:type="dxa" w:w="1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+$0.03</w:t>
            </w:r>
          </w:p>
        </w:tc>
        <w:tc>
          <w:tcPr>
            <w:tcW w:type="dxa" w:w="27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Mature</w:t>
            </w:r>
          </w:p>
        </w:tc>
      </w:tr>
      <w:tr>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Fluoride (F⁻)</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Zirconium-SPADNS</w:t>
            </w:r>
          </w:p>
        </w:tc>
        <w:tc>
          <w:tcPr>
            <w:tcW w:type="dxa" w:w="1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+$0.05</w:t>
            </w:r>
          </w:p>
        </w:tc>
        <w:tc>
          <w:tcPr>
            <w:tcW w:type="dxa" w:w="27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Mature</w:t>
            </w:r>
          </w:p>
        </w:tc>
      </w:tr>
      <w:tr>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Ammonia (NH₃/NH₄⁺)</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Berthelot (indophenol blue)</w:t>
            </w:r>
          </w:p>
        </w:tc>
        <w:tc>
          <w:tcPr>
            <w:tcW w:type="dxa" w:w="1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+$0.05</w:t>
            </w:r>
          </w:p>
        </w:tc>
        <w:tc>
          <w:tcPr>
            <w:tcW w:type="dxa" w:w="27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Mature</w:t>
            </w:r>
          </w:p>
        </w:tc>
      </w:tr>
      <w:tr>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Chromium (Cr⁶⁺)</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Diphenylcarbazide</w:t>
            </w:r>
          </w:p>
        </w:tc>
        <w:tc>
          <w:tcPr>
            <w:tcW w:type="dxa" w:w="1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+$0.05</w:t>
            </w:r>
          </w:p>
        </w:tc>
        <w:tc>
          <w:tcPr>
            <w:tcW w:type="dxa" w:w="27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Mature</w:t>
            </w:r>
          </w:p>
        </w:tc>
      </w:tr>
      <w:tr>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Copper (Cu²⁺)</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Bathocuproine</w:t>
            </w:r>
          </w:p>
        </w:tc>
        <w:tc>
          <w:tcPr>
            <w:tcW w:type="dxa" w:w="1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+$0.05</w:t>
            </w:r>
          </w:p>
        </w:tc>
        <w:tc>
          <w:tcPr>
            <w:tcW w:type="dxa" w:w="27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Mature</w:t>
            </w:r>
          </w:p>
        </w:tc>
      </w:tr>
      <w:tr>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Zinc (Zn²⁺)</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Zincon / pyridylazo</w:t>
            </w:r>
          </w:p>
        </w:tc>
        <w:tc>
          <w:tcPr>
            <w:tcW w:type="dxa" w:w="1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+$0.05</w:t>
            </w:r>
          </w:p>
        </w:tc>
        <w:tc>
          <w:tcPr>
            <w:tcW w:type="dxa" w:w="27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Mature</w:t>
            </w:r>
          </w:p>
        </w:tc>
      </w:tr>
      <w:tr>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Lead (Pb²⁺)</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DNAzyme / aptamer</w:t>
            </w:r>
          </w:p>
        </w:tc>
        <w:tc>
          <w:tcPr>
            <w:tcW w:type="dxa" w:w="1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+$0.50</w:t>
            </w:r>
          </w:p>
        </w:tc>
        <w:tc>
          <w:tcPr>
            <w:tcW w:type="dxa" w:w="27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Emerging</w:t>
            </w:r>
          </w:p>
        </w:tc>
      </w:tr>
      <w:tr>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Cadmium (Cd²⁺)</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Aptamer / quantum dot</w:t>
            </w:r>
          </w:p>
        </w:tc>
        <w:tc>
          <w:tcPr>
            <w:tcW w:type="dxa" w:w="1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+$0.50</w:t>
            </w:r>
          </w:p>
        </w:tc>
        <w:tc>
          <w:tcPr>
            <w:tcW w:type="dxa" w:w="27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Emerging</w:t>
            </w:r>
          </w:p>
        </w:tc>
      </w:tr>
      <w:tr>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Mercury (Hg²⁺)</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Thymine-Hg²⁺-thymine</w:t>
            </w:r>
          </w:p>
        </w:tc>
        <w:tc>
          <w:tcPr>
            <w:tcW w:type="dxa" w:w="1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+$0.30</w:t>
            </w:r>
          </w:p>
        </w:tc>
        <w:tc>
          <w:tcPr>
            <w:tcW w:type="dxa" w:w="27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Emerging</w:t>
            </w:r>
          </w:p>
        </w:tc>
      </w:tr>
      <w:tr>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Uranium</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Phosphorescent MOF / aptamer</w:t>
            </w:r>
          </w:p>
        </w:tc>
        <w:tc>
          <w:tcPr>
            <w:tcW w:type="dxa" w:w="1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w:t>
            </w:r>
          </w:p>
        </w:tc>
        <w:tc>
          <w:tcPr>
            <w:tcW w:type="dxa" w:w="27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Research</w:t>
            </w:r>
          </w:p>
        </w:tc>
      </w:tr>
      <w:tr>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E. coli / bacteria</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ß-galactosidase substrate (ONPG)</w:t>
            </w:r>
          </w:p>
        </w:tc>
        <w:tc>
          <w:tcPr>
            <w:tcW w:type="dxa" w:w="1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+$0.10</w:t>
            </w:r>
          </w:p>
        </w:tc>
        <w:tc>
          <w:tcPr>
            <w:tcW w:type="dxa" w:w="27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Mature</w:t>
            </w:r>
          </w:p>
        </w:tc>
      </w:tr>
      <w:tr>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Total Dissolved Solids</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Conductivity pad (carbon electrodes)</w:t>
            </w:r>
          </w:p>
        </w:tc>
        <w:tc>
          <w:tcPr>
            <w:tcW w:type="dxa" w:w="1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+$0.20</w:t>
            </w:r>
          </w:p>
        </w:tc>
        <w:tc>
          <w:tcPr>
            <w:tcW w:type="dxa" w:w="27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Possible</w:t>
            </w:r>
          </w:p>
        </w:tc>
      </w:tr>
    </w:tbl>
    <w:p>
      <w:pPr>
        <w:spacing w:after="160"/>
      </w:pPr>
    </w:p>
    <w:p>
      <w:pPr>
        <w:pStyle w:val="Heading2"/>
        <w:pBdr>
          <w:bottom w:val="single" w:color="007B8A" w:sz="4" w:space="4"/>
        </w:pBdr>
        <w:spacing w:after="120" w:before="320"/>
      </w:pPr>
      <w:r>
        <w:rPr>
          <w:rFonts w:ascii="Arial" w:cs="Arial" w:eastAsia="Arial" w:hAnsi="Arial"/>
          <w:b/>
          <w:bCs/>
          <w:color w:val="007B8A"/>
          <w:sz w:val="26"/>
          <w:szCs w:val="26"/>
        </w:rPr>
        <w:t>7.2 Inferred by (No Strip Required)</w:t>
      </w:r>
    </w:p>
    <w:p>
      <w:pPr>
        <w:pStyle w:val="Heading3"/>
        <w:spacing w:after="80" w:before="240"/>
      </w:pPr>
      <w:r>
        <w:rPr>
          <w:rFonts w:ascii="Arial" w:cs="Arial" w:eastAsia="Arial" w:hAnsi="Arial"/>
          <w:b/>
          <w:bCs/>
          <w:color w:val="0A2342"/>
          <w:sz w:val="22"/>
          <w:szCs w:val="22"/>
        </w:rPr>
        <w:t>Public Health / Toxicology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Substance</w:t>
            </w:r>
          </w:p>
        </w:tc>
        <w:tc>
          <w:tcPr>
            <w:tcW w:type="dxa" w:w="24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Key Proxy Parameters</w:t>
            </w:r>
          </w:p>
        </w:tc>
        <w:tc>
          <w:tcPr>
            <w:tcW w:type="dxa" w:w="51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Geological Mechanism</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Arsenic (As)</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9, 10, 11, 12, 21, 24, 35, 38, 47–53</w:t>
            </w:r>
          </w:p>
        </w:tc>
        <w:tc>
          <w:tcPr>
            <w:tcW w:type="dxa" w:w="51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Reductive dissolution of Fe-oxyhydroxides; sulfide oxidation; geothermal upwelling</w:t>
            </w:r>
          </w:p>
        </w:tc>
      </w:tr>
      <w:tr>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Fluoride (F⁻)</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8, 10, 11, 21, 30, 31</w:t>
            </w:r>
          </w:p>
        </w:tc>
        <w:tc>
          <w:tcPr>
            <w:tcW w:type="dxa" w:w="51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Felsic volcanic weathering; evaporite dissolution; alkaline closed basins</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Uranium (U)</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11, 19, 20, 21, 24, 31</w:t>
            </w:r>
          </w:p>
        </w:tc>
        <w:tc>
          <w:tcPr>
            <w:tcW w:type="dxa" w:w="51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Granitic basement; oxidising carbonate waters; magnetic basement depth</w:t>
            </w:r>
          </w:p>
        </w:tc>
      </w:tr>
      <w:tr>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Radon (Rn)</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20, 21, 23, 26, 35, 38</w:t>
            </w:r>
          </w:p>
        </w:tc>
        <w:tc>
          <w:tcPr>
            <w:tcW w:type="dxa" w:w="51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Uranium-bearing crystalline basement + permeable fracture pathways</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Manganese (Mn)</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21, 24, 47–53, 15</w:t>
            </w:r>
          </w:p>
        </w:tc>
        <w:tc>
          <w:tcPr>
            <w:tcW w:type="dxa" w:w="51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MnO₂ reduction parallel to FeOOH reduction</w:t>
            </w:r>
          </w:p>
        </w:tc>
      </w:tr>
      <w:tr>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Iron (Fe)</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21, 24, 47–53, 15</w:t>
            </w:r>
          </w:p>
        </w:tc>
        <w:tc>
          <w:tcPr>
            <w:tcW w:type="dxa" w:w="51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Fe-oxyhydroxide dissolution; organic carbon-driven reduction</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Selenium (Se)</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21, 24</w:t>
            </w:r>
          </w:p>
        </w:tc>
        <w:tc>
          <w:tcPr>
            <w:tcW w:type="dxa" w:w="51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Black shale / coal association; reducing organic-rich environments</w:t>
            </w:r>
          </w:p>
        </w:tc>
      </w:tr>
      <w:tr>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Vanadium (V)</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9, 21</w:t>
            </w:r>
          </w:p>
        </w:tc>
        <w:tc>
          <w:tcPr>
            <w:tcW w:type="dxa" w:w="51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Magnetite-ilmenite deposits; reducing conditions in iron-rich aquifers</w:t>
            </w:r>
          </w:p>
        </w:tc>
      </w:tr>
    </w:tbl>
    <w:p>
      <w:pPr>
        <w:spacing w:after="80"/>
      </w:pPr>
    </w:p>
    <w:p>
      <w:pPr>
        <w:pStyle w:val="Heading3"/>
        <w:spacing w:after="80" w:before="240"/>
      </w:pPr>
      <w:r>
        <w:rPr>
          <w:rFonts w:ascii="Arial" w:cs="Arial" w:eastAsia="Arial" w:hAnsi="Arial"/>
          <w:b/>
          <w:bCs/>
          <w:color w:val="0A2342"/>
          <w:sz w:val="22"/>
          <w:szCs w:val="22"/>
        </w:rPr>
        <w:t>Resource Exploration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20"/>
        <w:gridCol w:w="5040"/>
      </w:tblGrid>
      <w:tr>
        <w:trPr>
          <w:tblHeader/>
        </w:trPr>
        <w:tc>
          <w:tcPr>
            <w:tcW w:type="dxa" w:w="24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Resource / Activity</w:t>
            </w:r>
          </w:p>
        </w:tc>
        <w:tc>
          <w:tcPr>
            <w:tcW w:type="dxa" w:w="19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Key Parameters</w:t>
            </w:r>
          </w:p>
        </w:tc>
        <w:tc>
          <w:tcPr>
            <w:tcW w:type="dxa" w:w="50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Detection Logic</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Gold (Au) mineralisation</w:t>
            </w:r>
          </w:p>
        </w:tc>
        <w:tc>
          <w:tcPr>
            <w:tcW w:type="dxa" w:w="19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9, 12, 21, 35, 38, 42 (As strip)</w:t>
            </w:r>
          </w:p>
        </w:tc>
        <w:tc>
          <w:tcPr>
            <w:tcW w:type="dxa" w:w="50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Arsenic is a pathfinder for gold; sulfide vein systems along lineaments</w:t>
            </w:r>
          </w:p>
        </w:tc>
      </w:tr>
      <w:tr>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Iron ore / Banded Iron Formation</w:t>
            </w:r>
          </w:p>
        </w:tc>
        <w:tc>
          <w:tcPr>
            <w:tcW w:type="dxa" w:w="19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9, 20</w:t>
            </w:r>
          </w:p>
        </w:tc>
        <w:tc>
          <w:tcPr>
            <w:tcW w:type="dxa" w:w="50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High magnetite/hematite = magnetic highs + spectral iron</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Lithium brines</w:t>
            </w:r>
          </w:p>
        </w:tc>
        <w:tc>
          <w:tcPr>
            <w:tcW w:type="dxa" w:w="19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7, 8, 16, 19, 21</w:t>
            </w:r>
          </w:p>
        </w:tc>
        <w:tc>
          <w:tcPr>
            <w:tcW w:type="dxa" w:w="50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Closed endorheic basins; salt efflorescence; evaporative concentration</w:t>
            </w:r>
          </w:p>
        </w:tc>
      </w:tr>
      <w:tr>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Rare Earth Elements (REE)</w:t>
            </w:r>
          </w:p>
        </w:tc>
        <w:tc>
          <w:tcPr>
            <w:tcW w:type="dxa" w:w="19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10, 20, 21</w:t>
            </w:r>
          </w:p>
        </w:tc>
        <w:tc>
          <w:tcPr>
            <w:tcW w:type="dxa" w:w="50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Granitic weathering crusts; ion-adsorption clays; alkaline igneous complexes</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Geothermal fluids</w:t>
            </w:r>
          </w:p>
        </w:tc>
        <w:tc>
          <w:tcPr>
            <w:tcW w:type="dxa" w:w="19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7, 19, 20, 35, 36</w:t>
            </w:r>
          </w:p>
        </w:tc>
        <w:tc>
          <w:tcPr>
            <w:tcW w:type="dxa" w:w="50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High heat flow; fault conduits; hydrothermal alteration</w:t>
            </w:r>
          </w:p>
        </w:tc>
      </w:tr>
      <w:tr>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Oil / Gas seeps</w:t>
            </w:r>
          </w:p>
        </w:tc>
        <w:tc>
          <w:tcPr>
            <w:tcW w:type="dxa" w:w="19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7, 14, 15, 17, 37</w:t>
            </w:r>
          </w:p>
        </w:tc>
        <w:tc>
          <w:tcPr>
            <w:tcW w:type="dxa" w:w="50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Micro-thermal anomalies; vegetation stress; anticline traps</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Coal seams</w:t>
            </w:r>
          </w:p>
        </w:tc>
        <w:tc>
          <w:tcPr>
            <w:tcW w:type="dxa" w:w="19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7, 9, 12, 20</w:t>
            </w:r>
          </w:p>
        </w:tc>
        <w:tc>
          <w:tcPr>
            <w:tcW w:type="dxa" w:w="50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Pyrite oxidation; thermal anomalies; magnetic lows</w:t>
            </w:r>
          </w:p>
        </w:tc>
      </w:tr>
    </w:tbl>
    <w:p>
      <w:pPr>
        <w:spacing w:after="80"/>
      </w:pPr>
    </w:p>
    <w:p>
      <w:pPr>
        <w:pStyle w:val="Heading3"/>
        <w:spacing w:after="80" w:before="240"/>
      </w:pPr>
      <w:r>
        <w:rPr>
          <w:rFonts w:ascii="Arial" w:cs="Arial" w:eastAsia="Arial" w:hAnsi="Arial"/>
          <w:b/>
          <w:bCs/>
          <w:color w:val="0A2342"/>
          <w:sz w:val="22"/>
          <w:szCs w:val="22"/>
        </w:rPr>
        <w:t>Environmental Crime &amp;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20"/>
        <w:gridCol w:w="5040"/>
      </w:tblGrid>
      <w:tr>
        <w:trPr>
          <w:tblHeader/>
        </w:trPr>
        <w:tc>
          <w:tcPr>
            <w:tcW w:type="dxa" w:w="24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Activity</w:t>
            </w:r>
          </w:p>
        </w:tc>
        <w:tc>
          <w:tcPr>
            <w:tcW w:type="dxa" w:w="19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Key Parameters</w:t>
            </w:r>
          </w:p>
        </w:tc>
        <w:tc>
          <w:tcPr>
            <w:tcW w:type="dxa" w:w="50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Detection Logic</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Illegal alluvial mining</w:t>
            </w:r>
          </w:p>
        </w:tc>
        <w:tc>
          <w:tcPr>
            <w:tcW w:type="dxa" w:w="19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9, 12, 14, 15, 16, 17</w:t>
            </w:r>
          </w:p>
        </w:tc>
        <w:tc>
          <w:tcPr>
            <w:tcW w:type="dxa" w:w="50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Iron/sulfate blooms; vegetation destruction; unauthorised water ponds; subsidence</w:t>
            </w:r>
          </w:p>
        </w:tc>
      </w:tr>
      <w:tr>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Illegal deforestation</w:t>
            </w:r>
          </w:p>
        </w:tc>
        <w:tc>
          <w:tcPr>
            <w:tcW w:type="dxa" w:w="19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14, 15</w:t>
            </w:r>
          </w:p>
        </w:tc>
        <w:tc>
          <w:tcPr>
            <w:tcW w:type="dxa" w:w="50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NDVI drop; red-edge shift; forest fragmentation</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Acid Mine Drainage (AMD)</w:t>
            </w:r>
          </w:p>
        </w:tc>
        <w:tc>
          <w:tcPr>
            <w:tcW w:type="dxa" w:w="19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9, 12, 13, 17, 21</w:t>
            </w:r>
          </w:p>
        </w:tc>
        <w:tc>
          <w:tcPr>
            <w:tcW w:type="dxa" w:w="50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Jarosite/hematite spectral signature; subsidence from void collapse</w:t>
            </w:r>
          </w:p>
        </w:tc>
      </w:tr>
      <w:tr>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Industrial effluent dumping</w:t>
            </w:r>
          </w:p>
        </w:tc>
        <w:tc>
          <w:tcPr>
            <w:tcW w:type="dxa" w:w="19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7, 9, 12, 14, 15</w:t>
            </w:r>
          </w:p>
        </w:tc>
        <w:tc>
          <w:tcPr>
            <w:tcW w:type="dxa" w:w="50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Thermal plumes; chemical vegetation stress; sulfate/iron anomalies</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Agricultural water theft</w:t>
            </w:r>
          </w:p>
        </w:tc>
        <w:tc>
          <w:tcPr>
            <w:tcW w:type="dxa" w:w="19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5, 14, 16, 18</w:t>
            </w:r>
          </w:p>
        </w:tc>
        <w:tc>
          <w:tcPr>
            <w:tcW w:type="dxa" w:w="50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Anomalous water storage decline; unnatural vegetation; new extraction points</w:t>
            </w:r>
          </w:p>
        </w:tc>
      </w:tr>
    </w:tbl>
    <w:p>
      <w:pPr>
        <w:spacing w:after="200"/>
      </w:pPr>
    </w:p>
    <w:p>
      <w:r/>
    </w:p>
    <w:p>
      <w:pPr>
        <w:pStyle w:val="Heading1"/>
        <w:spacing w:after="160" w:before="480"/>
      </w:pPr>
      <w:r>
        <w:rPr>
          <w:rFonts w:ascii="Arial" w:cs="Arial" w:eastAsia="Arial" w:hAnsi="Arial"/>
          <w:b/>
          <w:bCs/>
          <w:color w:val="0A2342"/>
          <w:sz w:val="36"/>
          <w:szCs w:val="36"/>
        </w:rPr>
        <w:t>8. Technical Performance &amp; Validation</w:t>
      </w:r>
    </w:p>
    <w:p>
      <w:pPr>
        <w:pStyle w:val="Heading2"/>
        <w:pBdr>
          <w:bottom w:val="single" w:color="007B8A" w:sz="4" w:space="4"/>
        </w:pBdr>
        <w:spacing w:after="120" w:before="320"/>
      </w:pPr>
      <w:r>
        <w:rPr>
          <w:rFonts w:ascii="Arial" w:cs="Arial" w:eastAsia="Arial" w:hAnsi="Arial"/>
          <w:b/>
          <w:bCs/>
          <w:color w:val="007B8A"/>
          <w:sz w:val="26"/>
          <w:szCs w:val="26"/>
        </w:rPr>
        <w:t>8.1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40"/>
        <w:gridCol w:w="1380"/>
        <w:gridCol w:w="1020"/>
        <w:gridCol w:w="2160"/>
        <w:gridCol w:w="900"/>
      </w:tblGrid>
      <w:tr>
        <w:trPr>
          <w:tblHeader/>
        </w:trPr>
        <w:tc>
          <w:tcPr>
            <w:tcW w:type="dxa" w:w="27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Dataset</w:t>
            </w:r>
          </w:p>
        </w:tc>
        <w:tc>
          <w:tcPr>
            <w:tcW w:type="dxa" w:w="11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Sites</w:t>
            </w:r>
          </w:p>
        </w:tc>
        <w:tc>
          <w:tcPr>
            <w:tcW w:type="dxa" w:w="13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Contaminated</w:t>
            </w:r>
          </w:p>
        </w:tc>
        <w:tc>
          <w:tcPr>
            <w:tcW w:type="dxa" w:w="10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Rate</w:t>
            </w:r>
          </w:p>
        </w:tc>
        <w:tc>
          <w:tcPr>
            <w:tcW w:type="dxa" w:w="21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Geology</w:t>
            </w:r>
          </w:p>
        </w:tc>
        <w:tc>
          <w:tcPr>
            <w:tcW w:type="dxa" w:w="9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Type</w:t>
            </w:r>
          </w:p>
        </w:tc>
      </w:tr>
      <w:tr>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USGS Water Quality Portal (USA)</w:t>
            </w:r>
          </w:p>
        </w:tc>
        <w:tc>
          <w:tcPr>
            <w:tcW w:type="dxa" w:w="11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53,305</w:t>
            </w:r>
          </w:p>
        </w:tc>
        <w:tc>
          <w:tcPr>
            <w:tcW w:type="dxa" w:w="13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3,040</w:t>
            </w:r>
          </w:p>
        </w:tc>
        <w:tc>
          <w:tcPr>
            <w:tcW w:type="dxa" w:w="10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5.7%</w:t>
            </w:r>
          </w:p>
        </w:tc>
        <w:tc>
          <w:tcPr>
            <w:tcW w:type="dxa" w:w="21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Diverse US aquifers</w:t>
            </w:r>
          </w:p>
        </w:tc>
        <w:tc>
          <w:tcPr>
            <w:tcW w:type="dxa" w:w="9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Real</w:t>
            </w:r>
          </w:p>
        </w:tc>
      </w:tr>
      <w:tr>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Bangladesh BGS-DPHE</w:t>
            </w:r>
          </w:p>
        </w:tc>
        <w:tc>
          <w:tcPr>
            <w:tcW w:type="dxa" w:w="11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3,647</w:t>
            </w:r>
          </w:p>
        </w:tc>
        <w:tc>
          <w:tcPr>
            <w:tcW w:type="dxa" w:w="13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1,527</w:t>
            </w:r>
          </w:p>
        </w:tc>
        <w:tc>
          <w:tcPr>
            <w:tcW w:type="dxa" w:w="10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41.9%</w:t>
            </w:r>
          </w:p>
        </w:tc>
        <w:tc>
          <w:tcPr>
            <w:tcW w:type="dxa" w:w="21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Holocene alluvium, deltaic</w:t>
            </w:r>
          </w:p>
        </w:tc>
        <w:tc>
          <w:tcPr>
            <w:tcW w:type="dxa" w:w="9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Real</w:t>
            </w:r>
          </w:p>
        </w:tc>
      </w:tr>
      <w:tr>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Total</w:t>
            </w:r>
          </w:p>
        </w:tc>
        <w:tc>
          <w:tcPr>
            <w:tcW w:type="dxa" w:w="11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56,952</w:t>
            </w:r>
          </w:p>
        </w:tc>
        <w:tc>
          <w:tcPr>
            <w:tcW w:type="dxa" w:w="13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4,567</w:t>
            </w:r>
          </w:p>
        </w:tc>
        <w:tc>
          <w:tcPr>
            <w:tcW w:type="dxa" w:w="10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8.0%</w:t>
            </w:r>
          </w:p>
        </w:tc>
        <w:tc>
          <w:tcPr>
            <w:tcW w:type="dxa" w:w="21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t>
            </w:r>
          </w:p>
        </w:tc>
        <w:tc>
          <w:tcPr>
            <w:tcW w:type="dxa" w:w="9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t>
            </w:r>
          </w:p>
        </w:tc>
      </w:tr>
    </w:tbl>
    <w:p>
      <w:pPr>
        <w:spacing w:after="120"/>
      </w:pPr>
    </w:p>
    <w:p>
      <w:pPr>
        <w:pStyle w:val="Heading2"/>
        <w:pBdr>
          <w:bottom w:val="single" w:color="007B8A" w:sz="4" w:space="4"/>
        </w:pBdr>
        <w:spacing w:after="120" w:before="320"/>
      </w:pPr>
      <w:r>
        <w:rPr>
          <w:rFonts w:ascii="Arial" w:cs="Arial" w:eastAsia="Arial" w:hAnsi="Arial"/>
          <w:b/>
          <w:bCs/>
          <w:color w:val="007B8A"/>
          <w:sz w:val="26"/>
          <w:szCs w:val="26"/>
        </w:rPr>
        <w:t>8.2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Metric</w:t>
            </w:r>
          </w:p>
        </w:tc>
        <w:tc>
          <w:tcPr>
            <w:tcW w:type="dxa" w:w="28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Phase 1 (Remote)</w:t>
            </w:r>
          </w:p>
        </w:tc>
        <w:tc>
          <w:tcPr>
            <w:tcW w:type="dxa" w:w="28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Phase 2 (Remote + Strip)</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Accuracy (AUC)</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0.86</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0.9807 (US) / 0.970 (Bangladesh)</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Precision</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0.61 (US) / 0.91 (Bangladesh)</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Recall / Sensitivity</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0.89 (US) / 0.88 (Bangladesh)</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Specificity</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0.968 (US) / 0.92 (Bangladesh)</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Calibration (Brier Score)</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0.036 (US) / 0.071 (Bangladesh)</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Uncertainty Coverage</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95.7% (conformal prediction)</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5-Fold Cross-Validation AUC</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0.982 ± 0.003 (US) / 0.958 ± 0.006 (Bangladesh)</w:t>
            </w:r>
          </w:p>
        </w:tc>
      </w:tr>
    </w:tbl>
    <w:p>
      <w:pPr>
        <w:spacing w:after="120"/>
      </w:pPr>
    </w:p>
    <w:p>
      <w:pPr>
        <w:pStyle w:val="Heading2"/>
        <w:pBdr>
          <w:bottom w:val="single" w:color="007B8A" w:sz="4" w:space="4"/>
        </w:pBdr>
        <w:spacing w:after="120" w:before="320"/>
      </w:pPr>
      <w:r>
        <w:rPr>
          <w:rFonts w:ascii="Arial" w:cs="Arial" w:eastAsia="Arial" w:hAnsi="Arial"/>
          <w:b/>
          <w:bCs/>
          <w:color w:val="007B8A"/>
          <w:sz w:val="26"/>
          <w:szCs w:val="26"/>
        </w:rPr>
        <w:t>8.3 Validation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600"/>
        <w:gridCol w:w="3000"/>
      </w:tblGrid>
      <w:tr>
        <w:trPr>
          <w:tblHeader/>
        </w:trPr>
        <w:tc>
          <w:tcPr>
            <w:tcW w:type="dxa" w:w="27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Method</w:t>
            </w:r>
          </w:p>
        </w:tc>
        <w:tc>
          <w:tcPr>
            <w:tcW w:type="dxa" w:w="36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Purpose</w:t>
            </w:r>
          </w:p>
        </w:tc>
        <w:tc>
          <w:tcPr>
            <w:tcW w:type="dxa" w:w="30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Result</w:t>
            </w:r>
          </w:p>
        </w:tc>
      </w:tr>
      <w:tr>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Spatial 5-fold cross-validation</w:t>
            </w:r>
          </w:p>
        </w:tc>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Ensure model works in new geographic areas</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0.982 ± 0.003 AUC (US)</w:t>
            </w:r>
          </w:p>
        </w:tc>
      </w:tr>
      <w:tr>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K-means spatial clustering with buffer zones</w:t>
            </w:r>
          </w:p>
        </w:tc>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Prevent data leakage from nearby wells</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Passed</w:t>
            </w:r>
          </w:p>
        </w:tc>
      </w:tr>
      <w:tr>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Isotonic regression calibration</w:t>
            </w:r>
          </w:p>
        </w:tc>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Convert raw scores to true probabilities</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ECE reduced nearly 3× lower to 0.023</w:t>
            </w:r>
          </w:p>
        </w:tc>
      </w:tr>
      <w:tr>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Conformal prediction</w:t>
            </w:r>
          </w:p>
        </w:tc>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Uncertainty intervals with guaranteed coverage</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95.7% empirical coverage</w:t>
            </w:r>
          </w:p>
        </w:tc>
      </w:tr>
      <w:tr>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Bootstrap resampling</w:t>
            </w:r>
          </w:p>
        </w:tc>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Alternative uncertainty quantification</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94.2% coverage, width 0.168</w:t>
            </w:r>
          </w:p>
        </w:tc>
      </w:tr>
      <w:tr>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DeLong test</w:t>
            </w:r>
          </w:p>
        </w:tc>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Statistical significance of AUC differences</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 &lt; 0.001 for all ablations</w:t>
            </w:r>
          </w:p>
        </w:tc>
      </w:tr>
    </w:tbl>
    <w:p>
      <w:pPr>
        <w:spacing w:after="120"/>
      </w:pPr>
    </w:p>
    <w:p>
      <w:pPr>
        <w:pStyle w:val="Heading2"/>
        <w:pBdr>
          <w:bottom w:val="single" w:color="007B8A" w:sz="4" w:space="4"/>
        </w:pBdr>
        <w:spacing w:after="120" w:before="320"/>
      </w:pPr>
      <w:r>
        <w:rPr>
          <w:rFonts w:ascii="Arial" w:cs="Arial" w:eastAsia="Arial" w:hAnsi="Arial"/>
          <w:b/>
          <w:bCs/>
          <w:color w:val="007B8A"/>
          <w:sz w:val="26"/>
          <w:szCs w:val="26"/>
        </w:rPr>
        <w:t>8.4 What Drives Predictions</w:t>
      </w:r>
    </w:p>
    <w:p>
      <w:pPr>
        <w:pStyle w:val="Heading3"/>
        <w:spacing w:after="80" w:before="240"/>
      </w:pPr>
      <w:r>
        <w:rPr>
          <w:rFonts w:ascii="Arial" w:cs="Arial" w:eastAsia="Arial" w:hAnsi="Arial"/>
          <w:b/>
          <w:bCs/>
          <w:color w:val="0A2342"/>
          <w:sz w:val="22"/>
          <w:szCs w:val="22"/>
        </w:rPr>
        <w:t>USGS Model (Diverse Geology)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20"/>
        <w:gridCol w:w="5040"/>
      </w:tblGrid>
      <w:tr>
        <w:trPr>
          <w:tblHeader/>
        </w:trPr>
        <w:tc>
          <w:tcPr>
            <w:tcW w:type="dxa" w:w="30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Feature Category</w:t>
            </w:r>
          </w:p>
        </w:tc>
        <w:tc>
          <w:tcPr>
            <w:tcW w:type="dxa" w:w="13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Contribution</w:t>
            </w:r>
          </w:p>
        </w:tc>
        <w:tc>
          <w:tcPr>
            <w:tcW w:type="dxa" w:w="50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Top Individual Features</w:t>
            </w:r>
          </w:p>
        </w:tc>
      </w:tr>
      <w:tr>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Spatial contamination features</w:t>
            </w:r>
          </w:p>
        </w:tc>
        <w:tc>
          <w:tcPr>
            <w:tcW w:type="dxa" w:w="1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35.2%</w:t>
            </w:r>
          </w:p>
        </w:tc>
        <w:tc>
          <w:tcPr>
            <w:tcW w:type="dxa" w:w="50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k-NN local contamination rate (15.9%), distance-weighted contamination (12.1%), distance to centroid (7.2%)</w:t>
            </w:r>
          </w:p>
        </w:tc>
      </w:tr>
      <w:tr>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Chemistry features</w:t>
            </w:r>
          </w:p>
        </w:tc>
        <w:tc>
          <w:tcPr>
            <w:tcW w:type="dxa" w:w="13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28.4%</w:t>
            </w:r>
          </w:p>
        </w:tc>
        <w:tc>
          <w:tcPr>
            <w:tcW w:type="dxa" w:w="50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Fe-Mn ratios (12.3%), conductivity interactions (8.4%), DO-based redox (7.7%)</w:t>
            </w:r>
          </w:p>
        </w:tc>
      </w:tr>
      <w:tr>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TDA-inspired spatial features</w:t>
            </w:r>
          </w:p>
        </w:tc>
        <w:tc>
          <w:tcPr>
            <w:tcW w:type="dxa" w:w="1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18.7%</w:t>
            </w:r>
          </w:p>
        </w:tc>
        <w:tc>
          <w:tcPr>
            <w:tcW w:type="dxa" w:w="50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Neighbour distance variability as H0 proxy (8.2%), local homology proxy (6.1%), distance spread ratio (4.4%)</w:t>
            </w:r>
          </w:p>
        </w:tc>
      </w:tr>
      <w:tr>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Information geometry features</w:t>
            </w:r>
          </w:p>
        </w:tc>
        <w:tc>
          <w:tcPr>
            <w:tcW w:type="dxa" w:w="13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12.4%</w:t>
            </w:r>
          </w:p>
        </w:tc>
        <w:tc>
          <w:tcPr>
            <w:tcW w:type="dxa" w:w="50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Fisher information (5.2%), KL divergence (4.8%), entropy (2.4%)</w:t>
            </w:r>
          </w:p>
        </w:tc>
      </w:tr>
      <w:tr>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Geographic features</w:t>
            </w:r>
          </w:p>
        </w:tc>
        <w:tc>
          <w:tcPr>
            <w:tcW w:type="dxa" w:w="1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5.3%</w:t>
            </w:r>
          </w:p>
        </w:tc>
        <w:tc>
          <w:tcPr>
            <w:tcW w:type="dxa" w:w="50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Latitude, longitude, elevation</w:t>
            </w:r>
          </w:p>
        </w:tc>
      </w:tr>
    </w:tbl>
    <w:p>
      <w:pPr>
        <w:spacing w:after="80"/>
      </w:pPr>
    </w:p>
    <w:p>
      <w:pPr>
        <w:pStyle w:val="Heading3"/>
        <w:spacing w:after="80" w:before="240"/>
      </w:pPr>
      <w:r>
        <w:rPr>
          <w:rFonts w:ascii="Arial" w:cs="Arial" w:eastAsia="Arial" w:hAnsi="Arial"/>
          <w:b/>
          <w:bCs/>
          <w:color w:val="0A2342"/>
          <w:sz w:val="22"/>
          <w:szCs w:val="22"/>
        </w:rPr>
        <w:t>Bangladesh Model (Reductive Dissolution)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20"/>
        <w:gridCol w:w="5040"/>
      </w:tblGrid>
      <w:tr>
        <w:trPr>
          <w:tblHeader/>
        </w:trPr>
        <w:tc>
          <w:tcPr>
            <w:tcW w:type="dxa" w:w="30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Feature Category</w:t>
            </w:r>
          </w:p>
        </w:tc>
        <w:tc>
          <w:tcPr>
            <w:tcW w:type="dxa" w:w="13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Contribution</w:t>
            </w:r>
          </w:p>
        </w:tc>
        <w:tc>
          <w:tcPr>
            <w:tcW w:type="dxa" w:w="50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Top Features</w:t>
            </w:r>
          </w:p>
        </w:tc>
      </w:tr>
      <w:tr>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Hardness-iron interaction</w:t>
            </w:r>
          </w:p>
        </w:tc>
        <w:tc>
          <w:tcPr>
            <w:tcW w:type="dxa" w:w="1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25.2%</w:t>
            </w:r>
          </w:p>
        </w:tc>
        <w:tc>
          <w:tcPr>
            <w:tcW w:type="dxa" w:w="50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Combined water hardness + iron content</w:t>
            </w:r>
          </w:p>
        </w:tc>
      </w:tr>
      <w:tr>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Graph contamination flow</w:t>
            </w:r>
          </w:p>
        </w:tc>
        <w:tc>
          <w:tcPr>
            <w:tcW w:type="dxa" w:w="13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16.1%</w:t>
            </w:r>
          </w:p>
        </w:tc>
        <w:tc>
          <w:tcPr>
            <w:tcW w:type="dxa" w:w="50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Spatial connectivity of contamination patterns</w:t>
            </w:r>
          </w:p>
        </w:tc>
      </w:tr>
      <w:tr>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Direct iron measurements</w:t>
            </w:r>
          </w:p>
        </w:tc>
        <w:tc>
          <w:tcPr>
            <w:tcW w:type="dxa" w:w="1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4.1%</w:t>
            </w:r>
          </w:p>
        </w:tc>
        <w:tc>
          <w:tcPr>
            <w:tcW w:type="dxa" w:w="50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Dissolved Fe</w:t>
            </w:r>
          </w:p>
        </w:tc>
      </w:tr>
      <w:tr>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Log-transformed iron</w:t>
            </w:r>
          </w:p>
        </w:tc>
        <w:tc>
          <w:tcPr>
            <w:tcW w:type="dxa" w:w="13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4.1%</w:t>
            </w:r>
          </w:p>
        </w:tc>
        <w:tc>
          <w:tcPr>
            <w:tcW w:type="dxa" w:w="50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log(Fe)</w:t>
            </w:r>
          </w:p>
        </w:tc>
      </w:tr>
      <w:tr>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Ca-Mg ratio</w:t>
            </w:r>
          </w:p>
        </w:tc>
        <w:tc>
          <w:tcPr>
            <w:tcW w:type="dxa" w:w="1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2.5%</w:t>
            </w:r>
          </w:p>
        </w:tc>
        <w:tc>
          <w:tcPr>
            <w:tcW w:type="dxa" w:w="50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Carbonate vs. silicate weathering</w:t>
            </w:r>
          </w:p>
        </w:tc>
      </w:tr>
      <w:tr>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TDA Wasserstein proxy</w:t>
            </w:r>
          </w:p>
        </w:tc>
        <w:tc>
          <w:tcPr>
            <w:tcW w:type="dxa" w:w="13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1.7%</w:t>
            </w:r>
          </w:p>
        </w:tc>
        <w:tc>
          <w:tcPr>
            <w:tcW w:type="dxa" w:w="50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Distance to contamination centroid</w:t>
            </w:r>
          </w:p>
        </w:tc>
      </w:tr>
    </w:tbl>
    <w:p>
      <w:pPr>
        <w:spacing w:after="200"/>
      </w:pPr>
    </w:p>
    <w:p>
      <w:r/>
    </w:p>
    <w:p>
      <w:pPr>
        <w:pStyle w:val="Heading1"/>
        <w:spacing w:after="160" w:before="480"/>
      </w:pPr>
      <w:r>
        <w:rPr>
          <w:rFonts w:ascii="Arial" w:cs="Arial" w:eastAsia="Arial" w:hAnsi="Arial"/>
          <w:b/>
          <w:bCs/>
          <w:color w:val="0A2342"/>
          <w:sz w:val="36"/>
          <w:szCs w:val="36"/>
        </w:rPr>
        <w:t>9. Economic Analysis</w:t>
      </w:r>
    </w:p>
    <w:p>
      <w:pPr>
        <w:pStyle w:val="Heading2"/>
        <w:pBdr>
          <w:bottom w:val="single" w:color="007B8A" w:sz="4" w:space="4"/>
        </w:pBdr>
        <w:spacing w:after="120" w:before="320"/>
      </w:pPr>
      <w:r>
        <w:rPr>
          <w:rFonts w:ascii="Arial" w:cs="Arial" w:eastAsia="Arial" w:hAnsi="Arial"/>
          <w:b/>
          <w:bCs/>
          <w:color w:val="007B8A"/>
          <w:sz w:val="26"/>
          <w:szCs w:val="26"/>
        </w:rPr>
        <w:t>9.1 Bangladesh National Scale (10 Million Wells)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Metric</w:t>
            </w:r>
          </w:p>
        </w:tc>
        <w:tc>
          <w:tcPr>
            <w:tcW w:type="dxa" w:w="28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Traditional Testing</w:t>
            </w:r>
          </w:p>
        </w:tc>
        <w:tc>
          <w:tcPr>
            <w:tcW w:type="dxa" w:w="28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Thalassos</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Total cost</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$1,000,000,000</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$3,000,000</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Cost per well screened</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$0.30 average</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Phase 1 (all 10M wells)</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Not possible</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 — instant</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Phase 2 (2M flagged wells)</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Not applicable</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$3,000,000 at $1.50 each</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Time to complete</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5–10 years</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6–12 months</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Detection rate</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 (theoretical)</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98.07%</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Wells potentially missed</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~193,000 (1.93%)</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People protected</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47M (if ever completed)</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~40 million</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Cost per person protected</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$21.28</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$0.075</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Lives saved (cancer prevention)</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~200,000 over 20 years</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Healthcare costs averted</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$2–4 billion</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Economic productivity gained</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$5–8 billion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8A" w:sz="6"/>
              <w:left w:val="single" w:color="007B8A" w:sz="20"/>
              <w:bottom w:val="single" w:color="007B8A" w:sz="6"/>
              <w:right w:val="none" w:color="FFFFFF" w:sz="0"/>
            </w:tcBorders>
            <w:shd w:fill="E0F4F7" w:val="clear"/>
            <w:tcMar>
              <w:top w:type="dxa" w:w="120"/>
              <w:left w:type="dxa" w:w="200"/>
              <w:bottom w:type="dxa" w:w="120"/>
              <w:right w:type="dxa" w:w="120"/>
            </w:tcMar>
          </w:tcPr>
          <w:p>
            <w:r>
              <w:rPr>
                <w:rFonts w:ascii="Arial" w:cs="Arial" w:eastAsia="Arial" w:hAnsi="Arial"/>
                <w:b/>
                <w:bCs/>
                <w:color w:val="007B8A"/>
                <w:sz w:val="20"/>
                <w:szCs w:val="20"/>
              </w:rPr>
              <w:t>Return on Investment</w:t>
            </w:r>
          </w:p>
          <w:p>
            <w:pPr>
              <w:spacing w:after="0"/>
            </w:pPr>
            <w:r>
              <w:rPr>
                <w:rFonts w:ascii="Arial" w:cs="Arial" w:eastAsia="Arial" w:hAnsi="Arial"/>
                <w:color w:val="1A1A2E"/>
                <w:sz w:val="20"/>
                <w:szCs w:val="20"/>
              </w:rPr>
              <w:t>For every $1 spent on Thalassos, society gains an estimated $2,300–$4,000 in averted healthcare costs and recovered economic productivity.</w:t>
            </w:r>
          </w:p>
        </w:tc>
      </w:tr>
    </w:tbl>
    <w:p>
      <w:pPr>
        <w:spacing w:after="160"/>
      </w:pPr>
    </w:p>
    <w:p>
      <w:pPr>
        <w:pStyle w:val="Heading2"/>
        <w:pBdr>
          <w:bottom w:val="single" w:color="007B8A" w:sz="4" w:space="4"/>
        </w:pBdr>
        <w:spacing w:after="120" w:before="320"/>
      </w:pPr>
      <w:r>
        <w:rPr>
          <w:rFonts w:ascii="Arial" w:cs="Arial" w:eastAsia="Arial" w:hAnsi="Arial"/>
          <w:b/>
          <w:bCs/>
          <w:color w:val="007B8A"/>
          <w:sz w:val="26"/>
          <w:szCs w:val="26"/>
        </w:rPr>
        <w:t>9.2 Community Scale (500 Wells)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Metric</w:t>
            </w:r>
          </w:p>
        </w:tc>
        <w:tc>
          <w:tcPr>
            <w:tcW w:type="dxa" w:w="28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Traditional</w:t>
            </w:r>
          </w:p>
        </w:tc>
        <w:tc>
          <w:tcPr>
            <w:tcW w:type="dxa" w:w="28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Thalassos</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Total cost</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$100,000</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$150</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Time</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3–6 months</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1–2 months</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Cost per well</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$200</w:t>
            </w:r>
          </w:p>
        </w:tc>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$0.30</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Savings</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t>
            </w:r>
          </w:p>
        </w:tc>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$99,850 (667× cheaper)</w:t>
            </w:r>
          </w:p>
        </w:tc>
      </w:tr>
    </w:tbl>
    <w:p>
      <w:pPr>
        <w:spacing w:after="120"/>
      </w:pPr>
    </w:p>
    <w:p>
      <w:pPr>
        <w:pStyle w:val="Heading2"/>
        <w:pBdr>
          <w:bottom w:val="single" w:color="007B8A" w:sz="4" w:space="4"/>
        </w:pBdr>
        <w:spacing w:after="120" w:before="320"/>
      </w:pPr>
      <w:r>
        <w:rPr>
          <w:rFonts w:ascii="Arial" w:cs="Arial" w:eastAsia="Arial" w:hAnsi="Arial"/>
          <w:b/>
          <w:bCs/>
          <w:color w:val="007B8A"/>
          <w:sz w:val="26"/>
          <w:szCs w:val="26"/>
        </w:rPr>
        <w:t>9.3 Unit Economics (Phase 2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80"/>
        <w:gridCol w:w="3780"/>
      </w:tblGrid>
      <w:tr>
        <w:trPr>
          <w:tblHeader/>
        </w:trPr>
        <w:tc>
          <w:tcPr>
            <w:tcW w:type="dxa" w:w="36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Cost Item</w:t>
            </w:r>
          </w:p>
        </w:tc>
        <w:tc>
          <w:tcPr>
            <w:tcW w:type="dxa" w:w="19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Cost</w:t>
            </w:r>
          </w:p>
        </w:tc>
        <w:tc>
          <w:tcPr>
            <w:tcW w:type="dxa" w:w="37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Notes</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Strip manufacturing</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$0.30–$0.80</w:t>
            </w:r>
          </w:p>
        </w:tc>
        <w:tc>
          <w:tcPr>
            <w:tcW w:type="dxa" w:w="37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At 1M+ unit scale</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Lyophilised reagents</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$0.10–$0.20</w:t>
            </w:r>
          </w:p>
        </w:tc>
        <w:tc>
          <w:tcPr>
            <w:tcW w:type="dxa" w:w="37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Cell-free extracts, stabilisers</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Packaging (foil pouch, desiccant)</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$0.05–$0.10</w:t>
            </w:r>
          </w:p>
        </w:tc>
        <w:tc>
          <w:tcPr>
            <w:tcW w:type="dxa" w:w="37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18-month shelf life</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Smartphone app (amortised)</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$0.01</w:t>
            </w:r>
          </w:p>
        </w:tc>
        <w:tc>
          <w:tcPr>
            <w:tcW w:type="dxa" w:w="37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$100K development / 10M wells</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Cloud infrastructure (amortised)</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$0.01</w:t>
            </w:r>
          </w:p>
        </w:tc>
        <w:tc>
          <w:tcPr>
            <w:tcW w:type="dxa" w:w="37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AWS/Azure at scale</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Health worker training (amortised)</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$0.05</w:t>
            </w:r>
          </w:p>
        </w:tc>
        <w:tc>
          <w:tcPr>
            <w:tcW w:type="dxa" w:w="37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$50 per worker / 1,000 wells</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Quality control / waste management</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$0.03</w:t>
            </w:r>
          </w:p>
        </w:tc>
        <w:tc>
          <w:tcPr>
            <w:tcW w:type="dxa" w:w="37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 strip failure rate buffer</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Total strip cost</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$0.55–$1.20</w:t>
            </w:r>
          </w:p>
        </w:tc>
        <w:tc>
          <w:tcPr>
            <w:tcW w:type="dxa" w:w="37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Health worker payment</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$0.30–$0.50</w:t>
            </w:r>
          </w:p>
        </w:tc>
        <w:tc>
          <w:tcPr>
            <w:tcW w:type="dxa" w:w="37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$3/day, 5 wells per day</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Transport / logistics</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$0.20–$0.40</w:t>
            </w:r>
          </w:p>
        </w:tc>
        <w:tc>
          <w:tcPr>
            <w:tcW w:type="dxa" w:w="37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Bicycle, boat, motorbike</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Supervisor / coordinator</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$0.10–$0.20</w:t>
            </w:r>
          </w:p>
        </w:tc>
        <w:tc>
          <w:tcPr>
            <w:tcW w:type="dxa" w:w="37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 per 20 workers</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Total field delivery</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$0.60–$1.10</w:t>
            </w:r>
          </w:p>
        </w:tc>
        <w:tc>
          <w:tcPr>
            <w:tcW w:type="dxa" w:w="37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TOTAL COST PER WELL</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$1.15–$2.30</w:t>
            </w:r>
          </w:p>
        </w:tc>
        <w:tc>
          <w:tcPr>
            <w:tcW w:type="dxa" w:w="37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Target: $1.50 at scale</w:t>
            </w:r>
          </w:p>
        </w:tc>
      </w:tr>
      <w:tr>
        <w:tc>
          <w:tcPr>
            <w:tcW w:type="dxa" w:w="36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Price to customer</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$2.00–$3.50</w:t>
            </w:r>
          </w:p>
        </w:tc>
        <w:tc>
          <w:tcPr>
            <w:tcW w:type="dxa" w:w="37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30–50% margin</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Gross profit per well</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$0.70–$2.00</w:t>
            </w:r>
          </w:p>
        </w:tc>
        <w:tc>
          <w:tcPr>
            <w:tcW w:type="dxa" w:w="37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t>
            </w:r>
          </w:p>
        </w:tc>
      </w:tr>
    </w:tbl>
    <w:p>
      <w:pPr>
        <w:spacing w:after="200"/>
      </w:pPr>
    </w:p>
    <w:p>
      <w:r/>
    </w:p>
    <w:p>
      <w:pPr>
        <w:pStyle w:val="Heading1"/>
        <w:spacing w:after="160" w:before="480"/>
      </w:pPr>
      <w:r>
        <w:rPr>
          <w:rFonts w:ascii="Arial" w:cs="Arial" w:eastAsia="Arial" w:hAnsi="Arial"/>
          <w:b/>
          <w:bCs/>
          <w:color w:val="0A2342"/>
          <w:sz w:val="36"/>
          <w:szCs w:val="36"/>
        </w:rPr>
        <w:t>10. Business Model &amp; Market Opportunity</w:t>
      </w:r>
    </w:p>
    <w:p>
      <w:pPr>
        <w:pStyle w:val="Heading2"/>
        <w:pBdr>
          <w:bottom w:val="single" w:color="007B8A" w:sz="4" w:space="4"/>
        </w:pBdr>
        <w:spacing w:after="120" w:before="320"/>
      </w:pPr>
      <w:r>
        <w:rPr>
          <w:rFonts w:ascii="Arial" w:cs="Arial" w:eastAsia="Arial" w:hAnsi="Arial"/>
          <w:b/>
          <w:bCs/>
          <w:color w:val="007B8A"/>
          <w:sz w:val="26"/>
          <w:szCs w:val="26"/>
        </w:rPr>
        <w:t>10.1 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980"/>
        <w:gridCol w:w="2040"/>
        <w:gridCol w:w="2580"/>
      </w:tblGrid>
      <w:tr>
        <w:trPr>
          <w:tblHeader/>
        </w:trPr>
        <w:tc>
          <w:tcPr>
            <w:tcW w:type="dxa" w:w="27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Segment</w:t>
            </w:r>
          </w:p>
        </w:tc>
        <w:tc>
          <w:tcPr>
            <w:tcW w:type="dxa" w:w="19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Population at Risk</w:t>
            </w:r>
          </w:p>
        </w:tc>
        <w:tc>
          <w:tcPr>
            <w:tcW w:type="dxa" w:w="20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Current Spend</w:t>
            </w:r>
          </w:p>
        </w:tc>
        <w:tc>
          <w:tcPr>
            <w:tcW w:type="dxa" w:w="25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PHI-Addressable</w:t>
            </w:r>
          </w:p>
        </w:tc>
      </w:tr>
      <w:tr>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Arsenic testing globally</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200 million</w:t>
            </w:r>
          </w:p>
        </w:tc>
        <w:tc>
          <w:tcPr>
            <w:tcW w:type="dxa" w:w="20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$2–4 billion</w:t>
            </w:r>
          </w:p>
        </w:tc>
        <w:tc>
          <w:tcPr>
            <w:tcW w:type="dxa" w:w="25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$400–800 million</w:t>
            </w:r>
          </w:p>
        </w:tc>
      </w:tr>
      <w:tr>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Fluoride testing globally</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300 million</w:t>
            </w:r>
          </w:p>
        </w:tc>
        <w:tc>
          <w:tcPr>
            <w:tcW w:type="dxa" w:w="20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$1–2 billion</w:t>
            </w:r>
          </w:p>
        </w:tc>
        <w:tc>
          <w:tcPr>
            <w:tcW w:type="dxa" w:w="25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$200–400 million</w:t>
            </w:r>
          </w:p>
        </w:tc>
      </w:tr>
      <w:tr>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Uranium / nitrate testing</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 million</w:t>
            </w:r>
          </w:p>
        </w:tc>
        <w:tc>
          <w:tcPr>
            <w:tcW w:type="dxa" w:w="20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$0.5–1 billion</w:t>
            </w:r>
          </w:p>
        </w:tc>
        <w:tc>
          <w:tcPr>
            <w:tcW w:type="dxa" w:w="25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$100–200 million</w:t>
            </w:r>
          </w:p>
        </w:tc>
      </w:tr>
      <w:tr>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Mining water risk / due diligence</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t>
            </w:r>
          </w:p>
        </w:tc>
        <w:tc>
          <w:tcPr>
            <w:tcW w:type="dxa" w:w="20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 billion</w:t>
            </w:r>
          </w:p>
        </w:tc>
        <w:tc>
          <w:tcPr>
            <w:tcW w:type="dxa" w:w="25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$500M–$1 billion</w:t>
            </w:r>
          </w:p>
        </w:tc>
      </w:tr>
      <w:tr>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Agricultural water quality</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 billion</w:t>
            </w:r>
          </w:p>
        </w:tc>
        <w:tc>
          <w:tcPr>
            <w:tcW w:type="dxa" w:w="20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 billion</w:t>
            </w:r>
          </w:p>
        </w:tc>
        <w:tc>
          <w:tcPr>
            <w:tcW w:type="dxa" w:w="25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$1–2 billion</w:t>
            </w:r>
          </w:p>
        </w:tc>
      </w:tr>
      <w:tr>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Total Addressable Market</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t>
            </w:r>
          </w:p>
        </w:tc>
        <w:tc>
          <w:tcPr>
            <w:tcW w:type="dxa" w:w="20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$11.5–15 billion</w:t>
            </w:r>
          </w:p>
        </w:tc>
        <w:tc>
          <w:tcPr>
            <w:tcW w:type="dxa" w:w="25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$2.2–4.4 billion/year</w:t>
            </w:r>
          </w:p>
        </w:tc>
      </w:tr>
    </w:tbl>
    <w:p>
      <w:pPr>
        <w:spacing w:after="120"/>
      </w:pPr>
    </w:p>
    <w:p>
      <w:pPr>
        <w:pStyle w:val="Heading2"/>
        <w:pBdr>
          <w:bottom w:val="single" w:color="007B8A" w:sz="4" w:space="4"/>
        </w:pBdr>
        <w:spacing w:after="120" w:before="320"/>
      </w:pPr>
      <w:r>
        <w:rPr>
          <w:rFonts w:ascii="Arial" w:cs="Arial" w:eastAsia="Arial" w:hAnsi="Arial"/>
          <w:b/>
          <w:bCs/>
          <w:color w:val="007B8A"/>
          <w:sz w:val="26"/>
          <w:szCs w:val="26"/>
        </w:rPr>
        <w:t>10.2 Revenue Streams</w:t>
      </w:r>
    </w:p>
    <w:p>
      <w:pPr>
        <w:pStyle w:val="Heading3"/>
        <w:spacing w:after="80" w:before="240"/>
      </w:pPr>
      <w:r>
        <w:rPr>
          <w:rFonts w:ascii="Arial" w:cs="Arial" w:eastAsia="Arial" w:hAnsi="Arial"/>
          <w:b/>
          <w:bCs/>
          <w:color w:val="0A2342"/>
          <w:sz w:val="22"/>
          <w:szCs w:val="22"/>
        </w:rPr>
        <w:t>Stream 1: Government Contracts (40% of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Service</w:t>
            </w:r>
          </w:p>
        </w:tc>
        <w:tc>
          <w:tcPr>
            <w:tcW w:type="dxa" w:w="24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Pricing</w:t>
            </w:r>
          </w:p>
        </w:tc>
        <w:tc>
          <w:tcPr>
            <w:tcW w:type="dxa" w:w="39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Example Contract</w:t>
            </w:r>
          </w:p>
        </w:tc>
      </w:tr>
      <w:tr>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National risk mapping</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$0.10–$0.30 per well</w:t>
            </w:r>
          </w:p>
        </w:tc>
        <w:tc>
          <w:tcPr>
            <w:tcW w:type="dxa" w:w="3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Bangladesh 10M wells = $1–3M one-time</w:t>
            </w:r>
          </w:p>
        </w:tc>
      </w:tr>
      <w:tr>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Annual monitoring subscription</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$0.05–$0.10 per well/year</w:t>
            </w:r>
          </w:p>
        </w:tc>
        <w:tc>
          <w:tcPr>
            <w:tcW w:type="dxa" w:w="39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Bangladesh renewal = $0.5–1M/year</w:t>
            </w:r>
          </w:p>
        </w:tc>
      </w:tr>
      <w:tr>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District-level dashboard</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$50K–$200K per district</w:t>
            </w:r>
          </w:p>
        </w:tc>
        <w:tc>
          <w:tcPr>
            <w:tcW w:type="dxa" w:w="3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64 districts = $3.2–12.8M</w:t>
            </w:r>
          </w:p>
        </w:tc>
      </w:tr>
      <w:tr>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Emergency response mapping</w:t>
            </w:r>
          </w:p>
        </w:tc>
        <w:tc>
          <w:tcPr>
            <w:tcW w:type="dxa" w:w="24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$100K–$500K per event</w:t>
            </w:r>
          </w:p>
        </w:tc>
        <w:tc>
          <w:tcPr>
            <w:tcW w:type="dxa" w:w="39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Seasonal arsenic fluctuation mapping</w:t>
            </w:r>
          </w:p>
        </w:tc>
      </w:tr>
    </w:tbl>
    <w:p>
      <w:pPr>
        <w:spacing w:after="80"/>
      </w:pPr>
    </w:p>
    <w:p>
      <w:pPr>
        <w:pStyle w:val="Heading3"/>
        <w:spacing w:after="80" w:before="240"/>
      </w:pPr>
      <w:r>
        <w:rPr>
          <w:rFonts w:ascii="Arial" w:cs="Arial" w:eastAsia="Arial" w:hAnsi="Arial"/>
          <w:b/>
          <w:bCs/>
          <w:color w:val="0A2342"/>
          <w:sz w:val="22"/>
          <w:szCs w:val="22"/>
        </w:rPr>
        <w:t>Stream 2: NGO &amp; Development Agency Grants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240"/>
        <w:gridCol w:w="3360"/>
      </w:tblGrid>
      <w:tr>
        <w:trPr>
          <w:tblHeader/>
        </w:trPr>
        <w:tc>
          <w:tcPr>
            <w:tcW w:type="dxa" w:w="27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Funder</w:t>
            </w:r>
          </w:p>
        </w:tc>
        <w:tc>
          <w:tcPr>
            <w:tcW w:type="dxa" w:w="32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Programme</w:t>
            </w:r>
          </w:p>
        </w:tc>
        <w:tc>
          <w:tcPr>
            <w:tcW w:type="dxa" w:w="33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Potential Grant</w:t>
            </w:r>
          </w:p>
        </w:tc>
      </w:tr>
      <w:tr>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Bill &amp; Melinda Gates Foundation</w:t>
            </w:r>
          </w:p>
        </w:tc>
        <w:tc>
          <w:tcPr>
            <w:tcW w:type="dxa" w:w="32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WASH</w:t>
            </w:r>
          </w:p>
        </w:tc>
        <w:tc>
          <w:tcPr>
            <w:tcW w:type="dxa" w:w="3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$5–15M over 3 years</w:t>
            </w:r>
          </w:p>
        </w:tc>
      </w:tr>
      <w:tr>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USAID</w:t>
            </w:r>
          </w:p>
        </w:tc>
        <w:tc>
          <w:tcPr>
            <w:tcW w:type="dxa" w:w="32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Development Innovation Ventures</w:t>
            </w:r>
          </w:p>
        </w:tc>
        <w:tc>
          <w:tcPr>
            <w:tcW w:type="dxa" w:w="33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$2–5M</w:t>
            </w:r>
          </w:p>
        </w:tc>
      </w:tr>
      <w:tr>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World Bank</w:t>
            </w:r>
          </w:p>
        </w:tc>
        <w:tc>
          <w:tcPr>
            <w:tcW w:type="dxa" w:w="32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Global Water Security</w:t>
            </w:r>
          </w:p>
        </w:tc>
        <w:tc>
          <w:tcPr>
            <w:tcW w:type="dxa" w:w="3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$10–50M (country-level)</w:t>
            </w:r>
          </w:p>
        </w:tc>
      </w:tr>
      <w:tr>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UNICEF</w:t>
            </w:r>
          </w:p>
        </w:tc>
        <w:tc>
          <w:tcPr>
            <w:tcW w:type="dxa" w:w="32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Child health protection</w:t>
            </w:r>
          </w:p>
        </w:tc>
        <w:tc>
          <w:tcPr>
            <w:tcW w:type="dxa" w:w="33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$3–10M</w:t>
            </w:r>
          </w:p>
        </w:tc>
      </w:tr>
      <w:tr>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GIZ (Germany)</w:t>
            </w:r>
          </w:p>
        </w:tc>
        <w:tc>
          <w:tcPr>
            <w:tcW w:type="dxa" w:w="32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Technical cooperation</w:t>
            </w:r>
          </w:p>
        </w:tc>
        <w:tc>
          <w:tcPr>
            <w:tcW w:type="dxa" w:w="3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$2–5M</w:t>
            </w:r>
          </w:p>
        </w:tc>
      </w:tr>
      <w:tr>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Wellcome Trust</w:t>
            </w:r>
          </w:p>
        </w:tc>
        <w:tc>
          <w:tcPr>
            <w:tcW w:type="dxa" w:w="32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Environmental health</w:t>
            </w:r>
          </w:p>
        </w:tc>
        <w:tc>
          <w:tcPr>
            <w:tcW w:type="dxa" w:w="33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$1–3M</w:t>
            </w:r>
          </w:p>
        </w:tc>
      </w:tr>
    </w:tbl>
    <w:p>
      <w:pPr>
        <w:spacing w:after="80"/>
      </w:pPr>
    </w:p>
    <w:p>
      <w:pPr>
        <w:pStyle w:val="Heading3"/>
        <w:spacing w:after="80" w:before="240"/>
      </w:pPr>
      <w:r>
        <w:rPr>
          <w:rFonts w:ascii="Arial" w:cs="Arial" w:eastAsia="Arial" w:hAnsi="Arial"/>
          <w:b/>
          <w:bCs/>
          <w:color w:val="0A2342"/>
          <w:sz w:val="22"/>
          <w:szCs w:val="22"/>
        </w:rPr>
        <w:t>Stream 3: Enterprise — Mining &amp; Agriculture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640"/>
        <w:gridCol w:w="3960"/>
      </w:tblGrid>
      <w:tr>
        <w:trPr>
          <w:tblHeader/>
        </w:trPr>
        <w:tc>
          <w:tcPr>
            <w:tcW w:type="dxa" w:w="27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Service</w:t>
            </w:r>
          </w:p>
        </w:tc>
        <w:tc>
          <w:tcPr>
            <w:tcW w:type="dxa" w:w="26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Pricing</w:t>
            </w:r>
          </w:p>
        </w:tc>
        <w:tc>
          <w:tcPr>
            <w:tcW w:type="dxa" w:w="39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Target Customers</w:t>
            </w:r>
          </w:p>
        </w:tc>
      </w:tr>
      <w:tr>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Site water risk assessment</w:t>
            </w:r>
          </w:p>
        </w:tc>
        <w:tc>
          <w:tcPr>
            <w:tcW w:type="dxa" w:w="26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$10K–$50K per site</w:t>
            </w:r>
          </w:p>
        </w:tc>
        <w:tc>
          <w:tcPr>
            <w:tcW w:type="dxa" w:w="3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Rio Tinto, Vale, Glencore, Newmont</w:t>
            </w:r>
          </w:p>
        </w:tc>
      </w:tr>
      <w:tr>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Supply chain water monitoring</w:t>
            </w:r>
          </w:p>
        </w:tc>
        <w:tc>
          <w:tcPr>
            <w:tcW w:type="dxa" w:w="26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$100K–$500K/year</w:t>
            </w:r>
          </w:p>
        </w:tc>
        <w:tc>
          <w:tcPr>
            <w:tcW w:type="dxa" w:w="39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Nestlé, PepsiCo, Unilever, Cargill</w:t>
            </w:r>
          </w:p>
        </w:tc>
      </w:tr>
      <w:tr>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ESG compliance reporting</w:t>
            </w:r>
          </w:p>
        </w:tc>
        <w:tc>
          <w:tcPr>
            <w:tcW w:type="dxa" w:w="26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$50K–$200K/year</w:t>
            </w:r>
          </w:p>
        </w:tc>
        <w:tc>
          <w:tcPr>
            <w:tcW w:type="dxa" w:w="3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BlackRock portfolio companies</w:t>
            </w:r>
          </w:p>
        </w:tc>
      </w:tr>
      <w:tr>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Agricultural water quality</w:t>
            </w:r>
          </w:p>
        </w:tc>
        <w:tc>
          <w:tcPr>
            <w:tcW w:type="dxa" w:w="26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$5K–$20K per cooperative</w:t>
            </w:r>
          </w:p>
        </w:tc>
        <w:tc>
          <w:tcPr>
            <w:tcW w:type="dxa" w:w="39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Large farms, irrigation districts</w:t>
            </w:r>
          </w:p>
        </w:tc>
      </w:tr>
    </w:tbl>
    <w:p>
      <w:pPr>
        <w:spacing w:after="80"/>
      </w:pPr>
    </w:p>
    <w:p>
      <w:pPr>
        <w:pStyle w:val="Heading3"/>
        <w:spacing w:after="80" w:before="240"/>
      </w:pPr>
      <w:r>
        <w:rPr>
          <w:rFonts w:ascii="Arial" w:cs="Arial" w:eastAsia="Arial" w:hAnsi="Arial"/>
          <w:b/>
          <w:bCs/>
          <w:color w:val="0A2342"/>
          <w:sz w:val="22"/>
          <w:szCs w:val="22"/>
        </w:rPr>
        <w:t>Stream 4: Insurance &amp; Reinsurance (10%)</w:t>
      </w:r>
    </w:p>
    <w:p>
      <w:pPr>
        <w:spacing w:after="120" w:line="320"/>
      </w:pPr>
      <w:r>
        <w:rPr>
          <w:rFonts w:ascii="Arial" w:cs="Arial" w:eastAsia="Arial" w:hAnsi="Arial"/>
          <w:color w:val="1A1A2E"/>
          <w:sz w:val="20"/>
          <w:szCs w:val="20"/>
        </w:rPr>
        <w:t>Thalassos's satellite-driven risk scores enable a new class of parametric water quality insurance — policies that pay out automatically when the model predicts a contamination spike triggered by flood or drought-induced redox shift. Partners include Swiss Re, Munich Re, and Lloyd's.</w:t>
      </w:r>
    </w:p>
    <w:p>
      <w:pPr>
        <w:spacing w:after="80"/>
      </w:pPr>
    </w:p>
    <w:p>
      <w:pPr>
        <w:pStyle w:val="Heading3"/>
        <w:spacing w:after="80" w:before="240"/>
      </w:pPr>
      <w:r>
        <w:rPr>
          <w:rFonts w:ascii="Arial" w:cs="Arial" w:eastAsia="Arial" w:hAnsi="Arial"/>
          <w:b/>
          <w:bCs/>
          <w:color w:val="0A2342"/>
          <w:sz w:val="22"/>
          <w:szCs w:val="22"/>
        </w:rPr>
        <w:t>Stream 5: Data &amp; API Licensing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640"/>
        <w:gridCol w:w="3960"/>
      </w:tblGrid>
      <w:tr>
        <w:trPr>
          <w:tblHeader/>
        </w:trPr>
        <w:tc>
          <w:tcPr>
            <w:tcW w:type="dxa" w:w="27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Product</w:t>
            </w:r>
          </w:p>
        </w:tc>
        <w:tc>
          <w:tcPr>
            <w:tcW w:type="dxa" w:w="26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Pricing</w:t>
            </w:r>
          </w:p>
        </w:tc>
        <w:tc>
          <w:tcPr>
            <w:tcW w:type="dxa" w:w="39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Customers</w:t>
            </w:r>
          </w:p>
        </w:tc>
      </w:tr>
      <w:tr>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Risk map API (per query)</w:t>
            </w:r>
          </w:p>
        </w:tc>
        <w:tc>
          <w:tcPr>
            <w:tcW w:type="dxa" w:w="26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$0.001–$0.01 per well</w:t>
            </w:r>
          </w:p>
        </w:tc>
        <w:tc>
          <w:tcPr>
            <w:tcW w:type="dxa" w:w="3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Water quality apps, real estate platforms</w:t>
            </w:r>
          </w:p>
        </w:tc>
      </w:tr>
      <w:tr>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Bulk dataset licence</w:t>
            </w:r>
          </w:p>
        </w:tc>
        <w:tc>
          <w:tcPr>
            <w:tcW w:type="dxa" w:w="26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$50K–$500K/year</w:t>
            </w:r>
          </w:p>
        </w:tc>
        <w:tc>
          <w:tcPr>
            <w:tcW w:type="dxa" w:w="39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Academic institutions, consultancies</w:t>
            </w:r>
          </w:p>
        </w:tc>
      </w:tr>
      <w:tr>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White-label platform</w:t>
            </w:r>
          </w:p>
        </w:tc>
        <w:tc>
          <w:tcPr>
            <w:tcW w:type="dxa" w:w="26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$200K–$1M setup + annual</w:t>
            </w:r>
          </w:p>
        </w:tc>
        <w:tc>
          <w:tcPr>
            <w:tcW w:type="dxa" w:w="3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National governments, custom branding</w:t>
            </w:r>
          </w:p>
        </w:tc>
      </w:tr>
    </w:tbl>
    <w:p>
      <w:pPr>
        <w:spacing w:after="120"/>
      </w:pPr>
    </w:p>
    <w:p>
      <w:pPr>
        <w:pStyle w:val="Heading2"/>
        <w:pBdr>
          <w:bottom w:val="single" w:color="007B8A" w:sz="4" w:space="4"/>
        </w:pBdr>
        <w:spacing w:after="120" w:before="320"/>
      </w:pPr>
      <w:r>
        <w:rPr>
          <w:rFonts w:ascii="Arial" w:cs="Arial" w:eastAsia="Arial" w:hAnsi="Arial"/>
          <w:b/>
          <w:bCs/>
          <w:color w:val="007B8A"/>
          <w:sz w:val="26"/>
          <w:szCs w:val="26"/>
        </w:rPr>
        <w:t>10.3 Five-Year Financial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1440"/>
        <w:gridCol w:w="1680"/>
        <w:gridCol w:w="1440"/>
        <w:gridCol w:w="2280"/>
      </w:tblGrid>
      <w:tr>
        <w:trPr>
          <w:tblHeader/>
        </w:trPr>
        <w:tc>
          <w:tcPr>
            <w:tcW w:type="dxa" w:w="10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Year</w:t>
            </w:r>
          </w:p>
        </w:tc>
        <w:tc>
          <w:tcPr>
            <w:tcW w:type="dxa" w:w="14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Revenue</w:t>
            </w:r>
          </w:p>
        </w:tc>
        <w:tc>
          <w:tcPr>
            <w:tcW w:type="dxa" w:w="14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Costs</w:t>
            </w:r>
          </w:p>
        </w:tc>
        <w:tc>
          <w:tcPr>
            <w:tcW w:type="dxa" w:w="16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EBITDA</w:t>
            </w:r>
          </w:p>
        </w:tc>
        <w:tc>
          <w:tcPr>
            <w:tcW w:type="dxa" w:w="14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Countries</w:t>
            </w:r>
          </w:p>
        </w:tc>
        <w:tc>
          <w:tcPr>
            <w:tcW w:type="dxa" w:w="22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Wells Screened</w:t>
            </w:r>
          </w:p>
        </w:tc>
      </w:tr>
      <w:tr>
        <w:tc>
          <w:tcPr>
            <w:tcW w:type="dxa" w:w="10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w:t>
            </w:r>
          </w:p>
        </w:tc>
        <w:tc>
          <w:tcPr>
            <w:tcW w:type="dxa" w:w="14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$2M</w:t>
            </w:r>
          </w:p>
        </w:tc>
        <w:tc>
          <w:tcPr>
            <w:tcW w:type="dxa" w:w="14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$3M</w:t>
            </w:r>
          </w:p>
        </w:tc>
        <w:tc>
          <w:tcPr>
            <w:tcW w:type="dxa" w:w="16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-$1M</w:t>
            </w:r>
          </w:p>
        </w:tc>
        <w:tc>
          <w:tcPr>
            <w:tcW w:type="dxa" w:w="14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w:t>
            </w:r>
          </w:p>
        </w:tc>
        <w:tc>
          <w:tcPr>
            <w:tcW w:type="dxa" w:w="22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 million</w:t>
            </w:r>
          </w:p>
        </w:tc>
      </w:tr>
      <w:tr>
        <w:tc>
          <w:tcPr>
            <w:tcW w:type="dxa" w:w="10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w:t>
            </w:r>
          </w:p>
        </w:tc>
        <w:tc>
          <w:tcPr>
            <w:tcW w:type="dxa" w:w="14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$8M</w:t>
            </w:r>
          </w:p>
        </w:tc>
        <w:tc>
          <w:tcPr>
            <w:tcW w:type="dxa" w:w="14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$6M</w:t>
            </w:r>
          </w:p>
        </w:tc>
        <w:tc>
          <w:tcPr>
            <w:tcW w:type="dxa" w:w="16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$0.5M</w:t>
            </w:r>
          </w:p>
        </w:tc>
        <w:tc>
          <w:tcPr>
            <w:tcW w:type="dxa" w:w="14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w:t>
            </w:r>
          </w:p>
        </w:tc>
        <w:tc>
          <w:tcPr>
            <w:tcW w:type="dxa" w:w="22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 million</w:t>
            </w:r>
          </w:p>
        </w:tc>
      </w:tr>
      <w:tr>
        <w:tc>
          <w:tcPr>
            <w:tcW w:type="dxa" w:w="10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w:t>
            </w:r>
          </w:p>
        </w:tc>
        <w:tc>
          <w:tcPr>
            <w:tcW w:type="dxa" w:w="14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$20M</w:t>
            </w:r>
          </w:p>
        </w:tc>
        <w:tc>
          <w:tcPr>
            <w:tcW w:type="dxa" w:w="14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$12M</w:t>
            </w:r>
          </w:p>
        </w:tc>
        <w:tc>
          <w:tcPr>
            <w:tcW w:type="dxa" w:w="16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$4M</w:t>
            </w:r>
          </w:p>
        </w:tc>
        <w:tc>
          <w:tcPr>
            <w:tcW w:type="dxa" w:w="14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w:t>
            </w:r>
          </w:p>
        </w:tc>
        <w:tc>
          <w:tcPr>
            <w:tcW w:type="dxa" w:w="22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25 million</w:t>
            </w:r>
          </w:p>
        </w:tc>
      </w:tr>
      <w:tr>
        <w:tc>
          <w:tcPr>
            <w:tcW w:type="dxa" w:w="10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4</w:t>
            </w:r>
          </w:p>
        </w:tc>
        <w:tc>
          <w:tcPr>
            <w:tcW w:type="dxa" w:w="14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$45M</w:t>
            </w:r>
          </w:p>
        </w:tc>
        <w:tc>
          <w:tcPr>
            <w:tcW w:type="dxa" w:w="14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$25M</w:t>
            </w:r>
          </w:p>
        </w:tc>
        <w:tc>
          <w:tcPr>
            <w:tcW w:type="dxa" w:w="16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$10M</w:t>
            </w:r>
          </w:p>
        </w:tc>
        <w:tc>
          <w:tcPr>
            <w:tcW w:type="dxa" w:w="14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15</w:t>
            </w:r>
          </w:p>
        </w:tc>
        <w:tc>
          <w:tcPr>
            <w:tcW w:type="dxa" w:w="22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50 million</w:t>
            </w:r>
          </w:p>
        </w:tc>
      </w:tr>
      <w:tr>
        <w:tc>
          <w:tcPr>
            <w:tcW w:type="dxa" w:w="10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w:t>
            </w:r>
          </w:p>
        </w:tc>
        <w:tc>
          <w:tcPr>
            <w:tcW w:type="dxa" w:w="14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$80M</w:t>
            </w:r>
          </w:p>
        </w:tc>
        <w:tc>
          <w:tcPr>
            <w:tcW w:type="dxa" w:w="14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$40M</w:t>
            </w:r>
          </w:p>
        </w:tc>
        <w:tc>
          <w:tcPr>
            <w:tcW w:type="dxa" w:w="16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$20M</w:t>
            </w:r>
          </w:p>
        </w:tc>
        <w:tc>
          <w:tcPr>
            <w:tcW w:type="dxa" w:w="14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20</w:t>
            </w:r>
          </w:p>
        </w:tc>
        <w:tc>
          <w:tcPr>
            <w:tcW w:type="dxa" w:w="22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 million</w:t>
            </w:r>
          </w:p>
        </w:tc>
      </w:tr>
    </w:tbl>
    <w:p>
      <w:pPr>
        <w:spacing w:after="120"/>
      </w:pPr>
    </w:p>
    <w:p>
      <w:pPr>
        <w:pStyle w:val="Heading2"/>
        <w:pBdr>
          <w:bottom w:val="single" w:color="007B8A" w:sz="4" w:space="4"/>
        </w:pBdr>
        <w:spacing w:after="120" w:before="320"/>
      </w:pPr>
      <w:r>
        <w:rPr>
          <w:rFonts w:ascii="Arial" w:cs="Arial" w:eastAsia="Arial" w:hAnsi="Arial"/>
          <w:b/>
          <w:bCs/>
          <w:color w:val="007B8A"/>
          <w:sz w:val="26"/>
          <w:szCs w:val="26"/>
        </w:rPr>
        <w:t>10.4 Funding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200"/>
        <w:gridCol w:w="1080"/>
        <w:gridCol w:w="3000"/>
        <w:gridCol w:w="3000"/>
      </w:tblGrid>
      <w:tr>
        <w:trPr>
          <w:tblHeader/>
        </w:trPr>
        <w:tc>
          <w:tcPr>
            <w:tcW w:type="dxa" w:w="10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Round</w:t>
            </w:r>
          </w:p>
        </w:tc>
        <w:tc>
          <w:tcPr>
            <w:tcW w:type="dxa" w:w="12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Timing</w:t>
            </w:r>
          </w:p>
        </w:tc>
        <w:tc>
          <w:tcPr>
            <w:tcW w:type="dxa" w:w="10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Amount</w:t>
            </w:r>
          </w:p>
        </w:tc>
        <w:tc>
          <w:tcPr>
            <w:tcW w:type="dxa" w:w="30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Use of Funds</w:t>
            </w:r>
          </w:p>
        </w:tc>
        <w:tc>
          <w:tcPr>
            <w:tcW w:type="dxa" w:w="30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Target Investors</w:t>
            </w:r>
          </w:p>
        </w:tc>
      </w:tr>
      <w:tr>
        <w:tc>
          <w:tcPr>
            <w:tcW w:type="dxa" w:w="10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Seed</w:t>
            </w:r>
          </w:p>
        </w:tc>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Now</w:t>
            </w:r>
          </w:p>
        </w:tc>
        <w:tc>
          <w:tcPr>
            <w:tcW w:type="dxa" w:w="10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$1M</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Strip R&amp;D; Bangladesh pilot; team</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Angels; Gates Foundation exploration grant</w:t>
            </w:r>
          </w:p>
        </w:tc>
      </w:tr>
      <w:tr>
        <w:tc>
          <w:tcPr>
            <w:tcW w:type="dxa" w:w="10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Series A</w:t>
            </w:r>
          </w:p>
        </w:tc>
        <w:tc>
          <w:tcPr>
            <w:tcW w:type="dxa" w:w="12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Month 12</w:t>
            </w:r>
          </w:p>
        </w:tc>
        <w:tc>
          <w:tcPr>
            <w:tcW w:type="dxa" w:w="10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$5M</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India pilot; regulatory approval; manufacturing</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Impact VCs (Acumen, Omidyar); USAID DIVE</w:t>
            </w:r>
          </w:p>
        </w:tc>
      </w:tr>
      <w:tr>
        <w:tc>
          <w:tcPr>
            <w:tcW w:type="dxa" w:w="10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Series B</w:t>
            </w:r>
          </w:p>
        </w:tc>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Month 30</w:t>
            </w:r>
          </w:p>
        </w:tc>
        <w:tc>
          <w:tcPr>
            <w:tcW w:type="dxa" w:w="10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$15M</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Scale to 5 countries; insurance product; enterprise</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Growth VCs; DFIs (IFC, CDC)</w:t>
            </w:r>
          </w:p>
        </w:tc>
      </w:tr>
      <w:tr>
        <w:tc>
          <w:tcPr>
            <w:tcW w:type="dxa" w:w="10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Series C</w:t>
            </w:r>
          </w:p>
        </w:tc>
        <w:tc>
          <w:tcPr>
            <w:tcW w:type="dxa" w:w="12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Month 54</w:t>
            </w:r>
          </w:p>
        </w:tc>
        <w:tc>
          <w:tcPr>
            <w:tcW w:type="dxa" w:w="10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$30M</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Global platform; acquisitions; profitability</w:t>
            </w:r>
          </w:p>
        </w:tc>
        <w:tc>
          <w:tcPr>
            <w:tcW w:type="dxa" w:w="30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Strategic (Ecolab, Danaher); sovereign wealth funds</w:t>
            </w:r>
          </w:p>
        </w:tc>
      </w:tr>
    </w:tbl>
    <w:p>
      <w:pPr>
        <w:spacing w:after="200"/>
      </w:pPr>
    </w:p>
    <w:p>
      <w:r/>
    </w:p>
    <w:p>
      <w:pPr>
        <w:pStyle w:val="Heading1"/>
        <w:spacing w:after="160" w:before="480"/>
      </w:pPr>
      <w:r>
        <w:rPr>
          <w:rFonts w:ascii="Arial" w:cs="Arial" w:eastAsia="Arial" w:hAnsi="Arial"/>
          <w:b/>
          <w:bCs/>
          <w:color w:val="0A2342"/>
          <w:sz w:val="36"/>
          <w:szCs w:val="36"/>
        </w:rPr>
        <w:t>11. The Last-Mile Health Worker Network</w:t>
      </w:r>
    </w:p>
    <w:p>
      <w:pPr>
        <w:spacing w:after="120" w:line="320"/>
      </w:pPr>
      <w:r>
        <w:rPr>
          <w:rFonts w:ascii="Arial" w:cs="Arial" w:eastAsia="Arial" w:hAnsi="Arial"/>
          <w:color w:val="1A1A2E"/>
          <w:sz w:val="20"/>
          <w:szCs w:val="20"/>
        </w:rPr>
        <w:t>Satellites and AI compute risk, but someone must dip the paper strip. That someone is the community health worker (CHW) — already the backbone of rural healthcare across the developing world. Thalassos does not build a parallel workforce from scratch; it equips and incentivises the one that already exists.</w:t>
      </w:r>
    </w:p>
    <w:p>
      <w:pPr>
        <w:spacing w:after="80"/>
      </w:pPr>
    </w:p>
    <w:p>
      <w:pPr>
        <w:pStyle w:val="Heading2"/>
        <w:pBdr>
          <w:bottom w:val="single" w:color="007B8A" w:sz="4" w:space="4"/>
        </w:pBdr>
        <w:spacing w:after="120" w:before="320"/>
      </w:pPr>
      <w:r>
        <w:rPr>
          <w:rFonts w:ascii="Arial" w:cs="Arial" w:eastAsia="Arial" w:hAnsi="Arial"/>
          <w:b/>
          <w:bCs/>
          <w:color w:val="007B8A"/>
          <w:sz w:val="26"/>
          <w:szCs w:val="26"/>
        </w:rPr>
        <w:t>11.1 Existing CHW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680"/>
        <w:gridCol w:w="1980"/>
        <w:gridCol w:w="1920"/>
        <w:gridCol w:w="1800"/>
      </w:tblGrid>
      <w:tr>
        <w:trPr>
          <w:tblHeader/>
        </w:trPr>
        <w:tc>
          <w:tcPr>
            <w:tcW w:type="dxa" w:w="19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Country</w:t>
            </w:r>
          </w:p>
        </w:tc>
        <w:tc>
          <w:tcPr>
            <w:tcW w:type="dxa" w:w="16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Existing CHWs</w:t>
            </w:r>
          </w:p>
        </w:tc>
        <w:tc>
          <w:tcPr>
            <w:tcW w:type="dxa" w:w="19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Density</w:t>
            </w:r>
          </w:p>
        </w:tc>
        <w:tc>
          <w:tcPr>
            <w:tcW w:type="dxa" w:w="19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Salary</w:t>
            </w:r>
          </w:p>
        </w:tc>
        <w:tc>
          <w:tcPr>
            <w:tcW w:type="dxa" w:w="18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Training</w:t>
            </w:r>
          </w:p>
        </w:tc>
      </w:tr>
      <w:tr>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Bangladesh</w:t>
            </w:r>
          </w:p>
        </w:tc>
        <w:tc>
          <w:tcPr>
            <w:tcW w:type="dxa" w:w="16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100,000+</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 per 1,500 people</w:t>
            </w:r>
          </w:p>
        </w:tc>
        <w:tc>
          <w:tcPr>
            <w:tcW w:type="dxa" w:w="19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$50–$100/month</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6 weeks</w:t>
            </w:r>
          </w:p>
        </w:tc>
      </w:tr>
      <w:tr>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India (ASHA workers)</w:t>
            </w:r>
          </w:p>
        </w:tc>
        <w:tc>
          <w:tcPr>
            <w:tcW w:type="dxa" w:w="16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1,000,000</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 per 1,000 people</w:t>
            </w:r>
          </w:p>
        </w:tc>
        <w:tc>
          <w:tcPr>
            <w:tcW w:type="dxa" w:w="19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$40–$80/month</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23 days</w:t>
            </w:r>
          </w:p>
        </w:tc>
      </w:tr>
      <w:tr>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Ethiopia</w:t>
            </w:r>
          </w:p>
        </w:tc>
        <w:tc>
          <w:tcPr>
            <w:tcW w:type="dxa" w:w="16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40,000</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 per 2,500 people</w:t>
            </w:r>
          </w:p>
        </w:tc>
        <w:tc>
          <w:tcPr>
            <w:tcW w:type="dxa" w:w="19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$30–$50/month</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 year</w:t>
            </w:r>
          </w:p>
        </w:tc>
      </w:tr>
      <w:tr>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Nigeria</w:t>
            </w:r>
          </w:p>
        </w:tc>
        <w:tc>
          <w:tcPr>
            <w:tcW w:type="dxa" w:w="16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100,000</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 per 2,000 people</w:t>
            </w:r>
          </w:p>
        </w:tc>
        <w:tc>
          <w:tcPr>
            <w:tcW w:type="dxa" w:w="19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$20–$40/month</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Variable</w:t>
            </w:r>
          </w:p>
        </w:tc>
      </w:tr>
      <w:tr>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Peru</w:t>
            </w:r>
          </w:p>
        </w:tc>
        <w:tc>
          <w:tcPr>
            <w:tcW w:type="dxa" w:w="16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15,000</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 per 5,000 people</w:t>
            </w:r>
          </w:p>
        </w:tc>
        <w:tc>
          <w:tcPr>
            <w:tcW w:type="dxa" w:w="19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$100–$150/month</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 months</w:t>
            </w:r>
          </w:p>
        </w:tc>
      </w:tr>
    </w:tbl>
    <w:p>
      <w:pPr>
        <w:spacing w:after="120"/>
      </w:pPr>
    </w:p>
    <w:p>
      <w:pPr>
        <w:pStyle w:val="Heading2"/>
        <w:pBdr>
          <w:bottom w:val="single" w:color="007B8A" w:sz="4" w:space="4"/>
        </w:pBdr>
        <w:spacing w:after="120" w:before="320"/>
      </w:pPr>
      <w:r>
        <w:rPr>
          <w:rFonts w:ascii="Arial" w:cs="Arial" w:eastAsia="Arial" w:hAnsi="Arial"/>
          <w:b/>
          <w:bCs/>
          <w:color w:val="007B8A"/>
          <w:sz w:val="26"/>
          <w:szCs w:val="26"/>
        </w:rPr>
        <w:t>11.2 Training Programme (4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320"/>
        <w:gridCol w:w="5520"/>
      </w:tblGrid>
      <w:tr>
        <w:trPr>
          <w:tblHeader/>
        </w:trPr>
        <w:tc>
          <w:tcPr>
            <w:tcW w:type="dxa" w:w="25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Module</w:t>
            </w:r>
          </w:p>
        </w:tc>
        <w:tc>
          <w:tcPr>
            <w:tcW w:type="dxa" w:w="13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Duration</w:t>
            </w:r>
          </w:p>
        </w:tc>
        <w:tc>
          <w:tcPr>
            <w:tcW w:type="dxa" w:w="55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Content</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Water and health basics</w:t>
            </w:r>
          </w:p>
        </w:tc>
        <w:tc>
          <w:tcPr>
            <w:tcW w:type="dxa" w:w="1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 day</w:t>
            </w:r>
          </w:p>
        </w:tc>
        <w:tc>
          <w:tcPr>
            <w:tcW w:type="dxa" w:w="5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Arsenic, fluoride, and their health effects; understanding safe vs. unsafe water</w:t>
            </w:r>
          </w:p>
        </w:tc>
      </w:tr>
      <w:tr>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Strip handling</w:t>
            </w:r>
          </w:p>
        </w:tc>
        <w:tc>
          <w:tcPr>
            <w:tcW w:type="dxa" w:w="13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 day</w:t>
            </w:r>
          </w:p>
        </w:tc>
        <w:tc>
          <w:tcPr>
            <w:tcW w:type="dxa" w:w="5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Proper dipping technique; timing; contamination avoidance</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Smartphone app use</w:t>
            </w:r>
          </w:p>
        </w:tc>
        <w:tc>
          <w:tcPr>
            <w:tcW w:type="dxa" w:w="1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 day</w:t>
            </w:r>
          </w:p>
        </w:tc>
        <w:tc>
          <w:tcPr>
            <w:tcW w:type="dxa" w:w="5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Photography; GPS tagging; offline sync; troubleshooting</w:t>
            </w:r>
          </w:p>
        </w:tc>
      </w:tr>
      <w:tr>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Data quality &amp; ethics</w:t>
            </w:r>
          </w:p>
        </w:tc>
        <w:tc>
          <w:tcPr>
            <w:tcW w:type="dxa" w:w="13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0.5 day</w:t>
            </w:r>
          </w:p>
        </w:tc>
        <w:tc>
          <w:tcPr>
            <w:tcW w:type="dxa" w:w="5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Accurate recording; privacy; community consent</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Supervision &amp; reporting</w:t>
            </w:r>
          </w:p>
        </w:tc>
        <w:tc>
          <w:tcPr>
            <w:tcW w:type="dxa" w:w="1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0.5 day</w:t>
            </w:r>
          </w:p>
        </w:tc>
        <w:tc>
          <w:tcPr>
            <w:tcW w:type="dxa" w:w="5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Chain of command; incident reporting; payment process</w:t>
            </w:r>
          </w:p>
        </w:tc>
      </w:tr>
    </w:tbl>
    <w:p>
      <w:pPr>
        <w:spacing w:after="120"/>
      </w:pPr>
    </w:p>
    <w:p>
      <w:pPr>
        <w:pStyle w:val="Heading2"/>
        <w:pBdr>
          <w:bottom w:val="single" w:color="007B8A" w:sz="4" w:space="4"/>
        </w:pBdr>
        <w:spacing w:after="120" w:before="320"/>
      </w:pPr>
      <w:r>
        <w:rPr>
          <w:rFonts w:ascii="Arial" w:cs="Arial" w:eastAsia="Arial" w:hAnsi="Arial"/>
          <w:b/>
          <w:bCs/>
          <w:color w:val="007B8A"/>
          <w:sz w:val="26"/>
          <w:szCs w:val="26"/>
        </w:rPr>
        <w:t>11.3 Payment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920"/>
        <w:gridCol w:w="4560"/>
      </w:tblGrid>
      <w:tr>
        <w:trPr>
          <w:tblHeader/>
        </w:trPr>
        <w:tc>
          <w:tcPr>
            <w:tcW w:type="dxa" w:w="28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Component</w:t>
            </w:r>
          </w:p>
        </w:tc>
        <w:tc>
          <w:tcPr>
            <w:tcW w:type="dxa" w:w="19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Amount</w:t>
            </w:r>
          </w:p>
        </w:tc>
        <w:tc>
          <w:tcPr>
            <w:tcW w:type="dxa" w:w="45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Trigger</w:t>
            </w:r>
          </w:p>
        </w:tc>
      </w:tr>
      <w:tr>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Base monthly stipend</w:t>
            </w:r>
          </w:p>
        </w:tc>
        <w:tc>
          <w:tcPr>
            <w:tcW w:type="dxa" w:w="19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$20–$30</w:t>
            </w:r>
          </w:p>
        </w:tc>
        <w:tc>
          <w:tcPr>
            <w:tcW w:type="dxa" w:w="4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Attendance at monthly meeting</w:t>
            </w:r>
          </w:p>
        </w:tc>
      </w:tr>
      <w:tr>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Per-well testing fee</w:t>
            </w:r>
          </w:p>
        </w:tc>
        <w:tc>
          <w:tcPr>
            <w:tcW w:type="dxa" w:w="19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$0.30–$0.50</w:t>
            </w:r>
          </w:p>
        </w:tc>
        <w:tc>
          <w:tcPr>
            <w:tcW w:type="dxa" w:w="4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Valid app submission with GPS and photo</w:t>
            </w:r>
          </w:p>
        </w:tc>
      </w:tr>
      <w:tr>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Accuracy bonus</w:t>
            </w:r>
          </w:p>
        </w:tc>
        <w:tc>
          <w:tcPr>
            <w:tcW w:type="dxa" w:w="19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$0.10–$0.20</w:t>
            </w:r>
          </w:p>
        </w:tc>
        <w:tc>
          <w:tcPr>
            <w:tcW w:type="dxa" w:w="4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Match with supervisor spot-check</w:t>
            </w:r>
          </w:p>
        </w:tc>
      </w:tr>
      <w:tr>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Volume bonus</w:t>
            </w:r>
          </w:p>
        </w:tc>
        <w:tc>
          <w:tcPr>
            <w:tcW w:type="dxa" w:w="19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$50–$100</w:t>
            </w:r>
          </w:p>
        </w:tc>
        <w:tc>
          <w:tcPr>
            <w:tcW w:type="dxa" w:w="4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&gt;100 wells tested in a month</w:t>
            </w:r>
          </w:p>
        </w:tc>
      </w:tr>
      <w:tr>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Retention bonus</w:t>
            </w:r>
          </w:p>
        </w:tc>
        <w:tc>
          <w:tcPr>
            <w:tcW w:type="dxa" w:w="19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w:t>
            </w:r>
          </w:p>
        </w:tc>
        <w:tc>
          <w:tcPr>
            <w:tcW w:type="dxa" w:w="4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12 months of continuous service</w:t>
            </w:r>
          </w:p>
        </w:tc>
      </w:tr>
    </w:tbl>
    <w:p>
      <w:pPr>
        <w:spacing w:after="80"/>
      </w:pPr>
    </w:p>
    <w:p>
      <w:pPr>
        <w:spacing w:after="120" w:line="320"/>
      </w:pPr>
      <w:r>
        <w:rPr>
          <w:rFonts w:ascii="Arial" w:cs="Arial" w:eastAsia="Arial" w:hAnsi="Arial"/>
          <w:color w:val="1A1A2E"/>
          <w:sz w:val="20"/>
          <w:szCs w:val="20"/>
        </w:rPr>
        <w:t>Target monthly income: $80–$150 — two to three times the typical CHW salary, justified by expanded productivity, demonstrated skill, and community trust.</w:t>
      </w:r>
    </w:p>
    <w:p>
      <w:pPr>
        <w:spacing w:after="120"/>
      </w:pPr>
    </w:p>
    <w:p>
      <w:pPr>
        <w:pStyle w:val="Heading2"/>
        <w:pBdr>
          <w:bottom w:val="single" w:color="007B8A" w:sz="4" w:space="4"/>
        </w:pBdr>
        <w:spacing w:after="120" w:before="320"/>
      </w:pPr>
      <w:r>
        <w:rPr>
          <w:rFonts w:ascii="Arial" w:cs="Arial" w:eastAsia="Arial" w:hAnsi="Arial"/>
          <w:b/>
          <w:bCs/>
          <w:color w:val="007B8A"/>
          <w:sz w:val="26"/>
          <w:szCs w:val="26"/>
        </w:rPr>
        <w:t>11.4 Technology &amp;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Challenge</w:t>
            </w:r>
          </w:p>
        </w:tc>
        <w:tc>
          <w:tcPr>
            <w:tcW w:type="dxa" w:w="64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Solution</w:t>
            </w:r>
          </w:p>
        </w:tc>
      </w:tr>
      <w:tr>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No electricity</w:t>
            </w:r>
          </w:p>
        </w:tc>
        <w:tc>
          <w:tcPr>
            <w:tcW w:type="dxa" w:w="6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Solar panel + power bank provided with smartphone</w:t>
            </w:r>
          </w:p>
        </w:tc>
      </w:tr>
      <w:tr>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No internet</w:t>
            </w:r>
          </w:p>
        </w:tc>
        <w:tc>
          <w:tcPr>
            <w:tcW w:type="dxa" w:w="6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Offline app stores up to 30 days of data; syncs when connectivity returns</w:t>
            </w:r>
          </w:p>
        </w:tc>
      </w:tr>
      <w:tr>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Broken phone</w:t>
            </w:r>
          </w:p>
        </w:tc>
        <w:tc>
          <w:tcPr>
            <w:tcW w:type="dxa" w:w="6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48-hour replacement guarantee from district hub</w:t>
            </w:r>
          </w:p>
        </w:tc>
      </w:tr>
      <w:tr>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App crashes</w:t>
            </w:r>
          </w:p>
        </w:tc>
        <w:tc>
          <w:tcPr>
            <w:tcW w:type="dxa" w:w="6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In-app diagnostic; SMS fallback for critical submissions</w:t>
            </w:r>
          </w:p>
        </w:tc>
      </w:tr>
      <w:tr>
        <w:tc>
          <w:tcPr>
            <w:tcW w:type="dxa" w:w="28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Strip resupply</w:t>
            </w:r>
          </w:p>
        </w:tc>
        <w:tc>
          <w:tcPr>
            <w:tcW w:type="dxa" w:w="6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Monthly: central warehouse → district hub → health worker backpack</w:t>
            </w:r>
          </w:p>
        </w:tc>
      </w:tr>
      <w:tr>
        <w:tc>
          <w:tcPr>
            <w:tcW w:type="dxa" w:w="28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Waste collection</w:t>
            </w:r>
          </w:p>
        </w:tc>
        <w:tc>
          <w:tcPr>
            <w:tcW w:type="dxa" w:w="6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Monthly: used strips collected and disposed per WHO heavy metal guidelines</w:t>
            </w:r>
          </w:p>
        </w:tc>
      </w:tr>
    </w:tbl>
    <w:p>
      <w:pPr>
        <w:spacing w:after="200"/>
      </w:pPr>
    </w:p>
    <w:p>
      <w:r/>
    </w:p>
    <w:p>
      <w:pPr>
        <w:pStyle w:val="Heading1"/>
        <w:spacing w:after="160" w:before="480"/>
      </w:pPr>
      <w:r>
        <w:rPr>
          <w:rFonts w:ascii="Arial" w:cs="Arial" w:eastAsia="Arial" w:hAnsi="Arial"/>
          <w:b/>
          <w:bCs/>
          <w:color w:val="0A2342"/>
          <w:sz w:val="36"/>
          <w:szCs w:val="36"/>
        </w:rPr>
        <w:t>12. Regulatory Landscape</w:t>
      </w:r>
    </w:p>
    <w:p>
      <w:pPr>
        <w:spacing w:after="120" w:line="320"/>
      </w:pPr>
      <w:r>
        <w:rPr>
          <w:rFonts w:ascii="Arial" w:cs="Arial" w:eastAsia="Arial" w:hAnsi="Arial"/>
          <w:color w:val="1A1A2E"/>
          <w:sz w:val="20"/>
          <w:szCs w:val="20"/>
        </w:rPr>
        <w:t>Thalassos must navigate three regulatory domains in each market: medical device / diagnostic registration for the paper strips; environmental data and monitoring standards for the risk maps; and data privacy / sovereignty requirements for GPS-tagged well data.</w:t>
      </w:r>
    </w:p>
    <w:p>
      <w:pPr>
        <w:spacing w:after="80"/>
      </w:pPr>
    </w:p>
    <w:p>
      <w:pPr>
        <w:pStyle w:val="Heading2"/>
        <w:pBdr>
          <w:bottom w:val="single" w:color="007B8A" w:sz="4" w:space="4"/>
        </w:pBdr>
        <w:spacing w:after="120" w:before="320"/>
      </w:pPr>
      <w:r>
        <w:rPr>
          <w:rFonts w:ascii="Arial" w:cs="Arial" w:eastAsia="Arial" w:hAnsi="Arial"/>
          <w:b/>
          <w:bCs/>
          <w:color w:val="007B8A"/>
          <w:sz w:val="26"/>
          <w:szCs w:val="26"/>
        </w:rPr>
        <w:t>12.1 Bangladesh — Priority Market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Aspect</w:t>
            </w:r>
          </w:p>
        </w:tc>
        <w:tc>
          <w:tcPr>
            <w:tcW w:type="dxa" w:w="68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Detail</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Regulatory bodies</w:t>
            </w:r>
          </w:p>
        </w:tc>
        <w:tc>
          <w:tcPr>
            <w:tcW w:type="dxa" w:w="68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DPHE; Bangladesh Standards and Testing Institution (BSTI); DGDA for device registration</w:t>
            </w:r>
          </w:p>
        </w:tc>
      </w:tr>
      <w:tr>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Arsenic standard</w:t>
            </w:r>
          </w:p>
        </w:tc>
        <w:tc>
          <w:tcPr>
            <w:tcW w:type="dxa" w:w="68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50 µg/L (national); 10 µg/L (WHO guideline)</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Device pathway</w:t>
            </w:r>
          </w:p>
        </w:tc>
        <w:tc>
          <w:tcPr>
            <w:tcW w:type="dxa" w:w="68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Class B medical device registration with DGDA; 12–18 months; pilot exemption available</w:t>
            </w:r>
          </w:p>
        </w:tc>
      </w:tr>
      <w:tr>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Opportunities</w:t>
            </w:r>
          </w:p>
        </w:tc>
        <w:tc>
          <w:tcPr>
            <w:tcW w:type="dxa" w:w="68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Strong government commitment; existing BGS-DPHE relationship; World Bank financing</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Entry strategy</w:t>
            </w:r>
          </w:p>
        </w:tc>
        <w:tc>
          <w:tcPr>
            <w:tcW w:type="dxa" w:w="68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Partner with DPHE as 'technical assistance'; position as digital public good</w:t>
            </w:r>
          </w:p>
        </w:tc>
      </w:tr>
    </w:tbl>
    <w:p>
      <w:pPr>
        <w:spacing w:after="120"/>
      </w:pPr>
    </w:p>
    <w:p>
      <w:pPr>
        <w:pStyle w:val="Heading2"/>
        <w:pBdr>
          <w:bottom w:val="single" w:color="007B8A" w:sz="4" w:space="4"/>
        </w:pBdr>
        <w:spacing w:after="120" w:before="320"/>
      </w:pPr>
      <w:r>
        <w:rPr>
          <w:rFonts w:ascii="Arial" w:cs="Arial" w:eastAsia="Arial" w:hAnsi="Arial"/>
          <w:b/>
          <w:bCs/>
          <w:color w:val="007B8A"/>
          <w:sz w:val="26"/>
          <w:szCs w:val="26"/>
        </w:rPr>
        <w:t>12.2 India — Priority Market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Aspect</w:t>
            </w:r>
          </w:p>
        </w:tc>
        <w:tc>
          <w:tcPr>
            <w:tcW w:type="dxa" w:w="68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Detail</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Regulatory bodies</w:t>
            </w:r>
          </w:p>
        </w:tc>
        <w:tc>
          <w:tcPr>
            <w:tcW w:type="dxa" w:w="68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CDSCO; Ministry of Jal Shakti; Central Ground Water Board (CGWB)</w:t>
            </w:r>
          </w:p>
        </w:tc>
      </w:tr>
      <w:tr>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Arsenic standard</w:t>
            </w:r>
          </w:p>
        </w:tc>
        <w:tc>
          <w:tcPr>
            <w:tcW w:type="dxa" w:w="68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 µg/L (BIS)</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States in crisis</w:t>
            </w:r>
          </w:p>
        </w:tc>
        <w:tc>
          <w:tcPr>
            <w:tcW w:type="dxa" w:w="68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West Bengal, Bihar, Jharkhand, Uttar Pradesh, Assam, Manipur</w:t>
            </w:r>
          </w:p>
        </w:tc>
      </w:tr>
      <w:tr>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Device pathway</w:t>
            </w:r>
          </w:p>
        </w:tc>
        <w:tc>
          <w:tcPr>
            <w:tcW w:type="dxa" w:w="68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CDSCO Class B/C; BIS certification; 18–24 months for national scale</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Data privacy</w:t>
            </w:r>
          </w:p>
        </w:tc>
        <w:tc>
          <w:tcPr>
            <w:tcW w:type="dxa" w:w="68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Digital Personal Data Protection Act 2023; consent required for GPS-tagged health data</w:t>
            </w:r>
          </w:p>
        </w:tc>
      </w:tr>
      <w:tr>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Opportunities</w:t>
            </w:r>
          </w:p>
        </w:tc>
        <w:tc>
          <w:tcPr>
            <w:tcW w:type="dxa" w:w="68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Jal Jeevan Mission ($50B investment); 1 million ASHA workers; Make in India incentives</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Entry strategy</w:t>
            </w:r>
          </w:p>
        </w:tc>
        <w:tc>
          <w:tcPr>
            <w:tcW w:type="dxa" w:w="68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State-level pilots in Bihar and West Bengal; partner with IITs; apply for BIRAC grant</w:t>
            </w:r>
          </w:p>
        </w:tc>
      </w:tr>
    </w:tbl>
    <w:p>
      <w:pPr>
        <w:spacing w:after="120"/>
      </w:pPr>
    </w:p>
    <w:p>
      <w:pPr>
        <w:pStyle w:val="Heading2"/>
        <w:pBdr>
          <w:bottom w:val="single" w:color="007B8A" w:sz="4" w:space="4"/>
        </w:pBdr>
        <w:spacing w:after="120" w:before="320"/>
      </w:pPr>
      <w:r>
        <w:rPr>
          <w:rFonts w:ascii="Arial" w:cs="Arial" w:eastAsia="Arial" w:hAnsi="Arial"/>
          <w:b/>
          <w:bCs/>
          <w:color w:val="007B8A"/>
          <w:sz w:val="26"/>
          <w:szCs w:val="26"/>
        </w:rPr>
        <w:t>12.3 Vietnam — Priority Market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Aspect</w:t>
            </w:r>
          </w:p>
        </w:tc>
        <w:tc>
          <w:tcPr>
            <w:tcW w:type="dxa" w:w="68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Detail</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Regulatory bodies</w:t>
            </w:r>
          </w:p>
        </w:tc>
        <w:tc>
          <w:tcPr>
            <w:tcW w:type="dxa" w:w="68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Ministry of Health (MOH); Ministry of Natural Resources and Environment (MONRE)</w:t>
            </w:r>
          </w:p>
        </w:tc>
      </w:tr>
      <w:tr>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Arsenic standard</w:t>
            </w:r>
          </w:p>
        </w:tc>
        <w:tc>
          <w:tcPr>
            <w:tcW w:type="dxa" w:w="68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 µg/L (QCVN 09:2015/BYT)</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Data privacy</w:t>
            </w:r>
          </w:p>
        </w:tc>
        <w:tc>
          <w:tcPr>
            <w:tcW w:type="dxa" w:w="68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Cybersecurity Law 2018; data localisation requirements</w:t>
            </w:r>
          </w:p>
        </w:tc>
      </w:tr>
      <w:tr>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Entry strategy</w:t>
            </w:r>
          </w:p>
        </w:tc>
        <w:tc>
          <w:tcPr>
            <w:tcW w:type="dxa" w:w="68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Partner with NIOEH; GIZ co-financing; data hosted locally on AWS Singapore</w:t>
            </w:r>
          </w:p>
        </w:tc>
      </w:tr>
    </w:tbl>
    <w:p>
      <w:pPr>
        <w:spacing w:after="120"/>
      </w:pPr>
    </w:p>
    <w:p>
      <w:pPr>
        <w:pStyle w:val="Heading2"/>
        <w:pBdr>
          <w:bottom w:val="single" w:color="007B8A" w:sz="4" w:space="4"/>
        </w:pBdr>
        <w:spacing w:after="120" w:before="320"/>
      </w:pPr>
      <w:r>
        <w:rPr>
          <w:rFonts w:ascii="Arial" w:cs="Arial" w:eastAsia="Arial" w:hAnsi="Arial"/>
          <w:b/>
          <w:bCs/>
          <w:color w:val="007B8A"/>
          <w:sz w:val="26"/>
          <w:szCs w:val="26"/>
        </w:rPr>
        <w:t>12.4 United States — Priority Market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Aspect</w:t>
            </w:r>
          </w:p>
        </w:tc>
        <w:tc>
          <w:tcPr>
            <w:tcW w:type="dxa" w:w="68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Detail</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Regulatory bodies</w:t>
            </w:r>
          </w:p>
        </w:tc>
        <w:tc>
          <w:tcPr>
            <w:tcW w:type="dxa" w:w="68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EPA (Safe Drinking Water Act); FDA if 'diagnostic' claim is made</w:t>
            </w:r>
          </w:p>
        </w:tc>
      </w:tr>
      <w:tr>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Arsenic standard</w:t>
            </w:r>
          </w:p>
        </w:tc>
        <w:tc>
          <w:tcPr>
            <w:tcW w:type="dxa" w:w="68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 µg/L MCL; private wells unregulated at federal level</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Device pathway</w:t>
            </w:r>
          </w:p>
        </w:tc>
        <w:tc>
          <w:tcPr>
            <w:tcW w:type="dxa" w:w="68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FDA 510(k) if diagnostic claim; CLIA-waived for point-of-care; 24–36 months</w:t>
            </w:r>
          </w:p>
        </w:tc>
      </w:tr>
      <w:tr>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Entry strategy</w:t>
            </w:r>
          </w:p>
        </w:tc>
        <w:tc>
          <w:tcPr>
            <w:tcW w:type="dxa" w:w="68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Position as screening tool (not diagnostic) to bypass FDA initially; target real estate due diligence market</w:t>
            </w:r>
          </w:p>
        </w:tc>
      </w:tr>
    </w:tbl>
    <w:p>
      <w:pPr>
        <w:spacing w:after="120"/>
      </w:pPr>
    </w:p>
    <w:p>
      <w:pPr>
        <w:pStyle w:val="Heading2"/>
        <w:pBdr>
          <w:bottom w:val="single" w:color="007B8A" w:sz="4" w:space="4"/>
        </w:pBdr>
        <w:spacing w:after="120" w:before="320"/>
      </w:pPr>
      <w:r>
        <w:rPr>
          <w:rFonts w:ascii="Arial" w:cs="Arial" w:eastAsia="Arial" w:hAnsi="Arial"/>
          <w:b/>
          <w:bCs/>
          <w:color w:val="007B8A"/>
          <w:sz w:val="26"/>
          <w:szCs w:val="26"/>
        </w:rPr>
        <w:t>12.5 Regulatory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200"/>
        <w:gridCol w:w="1080"/>
        <w:gridCol w:w="4320"/>
      </w:tblGrid>
      <w:tr>
        <w:trPr>
          <w:tblHeader/>
        </w:trPr>
        <w:tc>
          <w:tcPr>
            <w:tcW w:type="dxa" w:w="27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Risk</w:t>
            </w:r>
          </w:p>
        </w:tc>
        <w:tc>
          <w:tcPr>
            <w:tcW w:type="dxa" w:w="12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Likelihood</w:t>
            </w:r>
          </w:p>
        </w:tc>
        <w:tc>
          <w:tcPr>
            <w:tcW w:type="dxa" w:w="10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Impact</w:t>
            </w:r>
          </w:p>
        </w:tc>
        <w:tc>
          <w:tcPr>
            <w:tcW w:type="dxa" w:w="43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Mitigation</w:t>
            </w:r>
          </w:p>
        </w:tc>
      </w:tr>
      <w:tr>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Device registration delayed &gt;24 months</w:t>
            </w:r>
          </w:p>
        </w:tc>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Medium</w:t>
            </w:r>
          </w:p>
        </w:tc>
        <w:tc>
          <w:tcPr>
            <w:tcW w:type="dxa" w:w="10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High</w:t>
            </w:r>
          </w:p>
        </w:tc>
        <w:tc>
          <w:tcPr>
            <w:tcW w:type="dxa" w:w="4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Start with research exemption; partner with local universities for validation study</w:t>
            </w:r>
          </w:p>
        </w:tc>
      </w:tr>
      <w:tr>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Data localisation requirements</w:t>
            </w:r>
          </w:p>
        </w:tc>
        <w:tc>
          <w:tcPr>
            <w:tcW w:type="dxa" w:w="12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Medium</w:t>
            </w:r>
          </w:p>
        </w:tc>
        <w:tc>
          <w:tcPr>
            <w:tcW w:type="dxa" w:w="10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Medium</w:t>
            </w:r>
          </w:p>
        </w:tc>
        <w:tc>
          <w:tcPr>
            <w:tcW w:type="dxa" w:w="43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Local cloud hosting (AWS Mumbai, Azure Singapore); data residency agreements</w:t>
            </w:r>
          </w:p>
        </w:tc>
      </w:tr>
      <w:tr>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Procurement corruption / cancellation</w:t>
            </w:r>
          </w:p>
        </w:tc>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Medium</w:t>
            </w:r>
          </w:p>
        </w:tc>
        <w:tc>
          <w:tcPr>
            <w:tcW w:type="dxa" w:w="10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High</w:t>
            </w:r>
          </w:p>
        </w:tc>
        <w:tc>
          <w:tcPr>
            <w:tcW w:type="dxa" w:w="4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Diversify across 5+ countries; no single market &gt;30% of revenue</w:t>
            </w:r>
          </w:p>
        </w:tc>
      </w:tr>
      <w:tr>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Liability for missed contamination</w:t>
            </w:r>
          </w:p>
        </w:tc>
        <w:tc>
          <w:tcPr>
            <w:tcW w:type="dxa" w:w="12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Low</w:t>
            </w:r>
          </w:p>
        </w:tc>
        <w:tc>
          <w:tcPr>
            <w:tcW w:type="dxa" w:w="10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High</w:t>
            </w:r>
          </w:p>
        </w:tc>
        <w:tc>
          <w:tcPr>
            <w:tcW w:type="dxa" w:w="43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Insurance; clear 'screening tool' labelling; conformal prediction uncertainty intervals</w:t>
            </w:r>
          </w:p>
        </w:tc>
      </w:tr>
    </w:tbl>
    <w:p>
      <w:pPr>
        <w:spacing w:after="200"/>
      </w:pPr>
    </w:p>
    <w:p>
      <w:r/>
    </w:p>
    <w:p>
      <w:pPr>
        <w:pStyle w:val="Heading1"/>
        <w:spacing w:after="160" w:before="480"/>
      </w:pPr>
      <w:r>
        <w:rPr>
          <w:rFonts w:ascii="Arial" w:cs="Arial" w:eastAsia="Arial" w:hAnsi="Arial"/>
          <w:b/>
          <w:bCs/>
          <w:color w:val="0A2342"/>
          <w:sz w:val="36"/>
          <w:szCs w:val="36"/>
        </w:rPr>
        <w:t>13. Competitive Analysis</w:t>
      </w:r>
    </w:p>
    <w:p>
      <w:pPr>
        <w:pStyle w:val="Heading2"/>
        <w:pBdr>
          <w:bottom w:val="single" w:color="007B8A" w:sz="4" w:space="4"/>
        </w:pBdr>
        <w:spacing w:after="120" w:before="320"/>
      </w:pPr>
      <w:r>
        <w:rPr>
          <w:rFonts w:ascii="Arial" w:cs="Arial" w:eastAsia="Arial" w:hAnsi="Arial"/>
          <w:b/>
          <w:bCs/>
          <w:color w:val="007B8A"/>
          <w:sz w:val="26"/>
          <w:szCs w:val="26"/>
        </w:rPr>
        <w:t>13.1 Direct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80"/>
        <w:gridCol w:w="2760"/>
        <w:gridCol w:w="2520"/>
      </w:tblGrid>
      <w:tr>
        <w:trPr>
          <w:tblHeader/>
        </w:trPr>
        <w:tc>
          <w:tcPr>
            <w:tcW w:type="dxa" w:w="21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Competitor</w:t>
            </w:r>
          </w:p>
        </w:tc>
        <w:tc>
          <w:tcPr>
            <w:tcW w:type="dxa" w:w="19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Approach</w:t>
            </w:r>
          </w:p>
        </w:tc>
        <w:tc>
          <w:tcPr>
            <w:tcW w:type="dxa" w:w="27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Weakness</w:t>
            </w:r>
          </w:p>
        </w:tc>
        <w:tc>
          <w:tcPr>
            <w:tcW w:type="dxa" w:w="25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Thalassos Advantage</w:t>
            </w:r>
          </w:p>
        </w:tc>
      </w:tr>
      <w:tr>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SimpleWater (Tap Score)</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Mail-in lab kits for US private wells</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$150–$300 per test; 2-week turnaround; US only</w:t>
            </w:r>
          </w:p>
        </w:tc>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 lower cost; 1,000× shorter turnaround; global</w:t>
            </w:r>
          </w:p>
        </w:tc>
      </w:tr>
      <w:tr>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WaterAid / UNICEF field kits (Hach, Merck)</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Colorimetric single-parameter tests</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$5–$20 per test; no digital integration; not predictive</w:t>
            </w:r>
          </w:p>
        </w:tc>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 lower cost; multiplexed; AI-integrated; predictive</w:t>
            </w:r>
          </w:p>
        </w:tc>
      </w:tr>
      <w:tr>
        <w:tc>
          <w:tcPr>
            <w:tcW w:type="dxa" w:w="21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BGS National Surveys</w:t>
            </w:r>
          </w:p>
        </w:tc>
        <w:tc>
          <w:tcPr>
            <w:tcW w:type="dxa" w:w="19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Comprehensive geological surveys</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$10–50M per survey; 5–10 years; not real-time</w:t>
            </w:r>
          </w:p>
        </w:tc>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Continuous; real-time; over 100× lower cost</w:t>
            </w:r>
          </w:p>
        </w:tc>
      </w:tr>
      <w:tr>
        <w:tc>
          <w:tcPr>
            <w:tcW w:type="dxa" w:w="21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Academic ML models (Podgorski 2020)</w:t>
            </w:r>
          </w:p>
        </w:tc>
        <w:tc>
          <w:tcPr>
            <w:tcW w:type="dxa" w:w="19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Global random forest prediction</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No deployment platform; no uncertainty quantification</w:t>
            </w:r>
          </w:p>
        </w:tc>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Deployed; calibrated; uncertainty-aware; monetised</w:t>
            </w:r>
          </w:p>
        </w:tc>
      </w:tr>
    </w:tbl>
    <w:p>
      <w:pPr>
        <w:spacing w:after="120"/>
      </w:pPr>
    </w:p>
    <w:p>
      <w:pPr>
        <w:pStyle w:val="Heading2"/>
        <w:pBdr>
          <w:bottom w:val="single" w:color="007B8A" w:sz="4" w:space="4"/>
        </w:pBdr>
        <w:spacing w:after="120" w:before="320"/>
      </w:pPr>
      <w:r>
        <w:rPr>
          <w:rFonts w:ascii="Arial" w:cs="Arial" w:eastAsia="Arial" w:hAnsi="Arial"/>
          <w:b/>
          <w:bCs/>
          <w:color w:val="007B8A"/>
          <w:sz w:val="26"/>
          <w:szCs w:val="26"/>
        </w:rPr>
        <w:t>13.2 Competitive Moats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W w:type="dxa" w:w="25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Moat</w:t>
            </w:r>
          </w:p>
        </w:tc>
        <w:tc>
          <w:tcPr>
            <w:tcW w:type="dxa" w:w="43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Description</w:t>
            </w:r>
          </w:p>
        </w:tc>
        <w:tc>
          <w:tcPr>
            <w:tcW w:type="dxa" w:w="25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Durability</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Data network effects</w:t>
            </w:r>
          </w:p>
        </w:tc>
        <w:tc>
          <w:tcPr>
            <w:tcW w:type="dxa" w:w="4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Every strip result improves the Phase 1 model; 100M wells = unbeatable training set</w:t>
            </w:r>
          </w:p>
        </w:tc>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High — 5+ years to replicate</w:t>
            </w:r>
          </w:p>
        </w:tc>
      </w:tr>
      <w:tr>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Health worker relationships</w:t>
            </w:r>
          </w:p>
        </w:tc>
        <w:tc>
          <w:tcPr>
            <w:tcW w:type="dxa" w:w="43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10,000 trained, trusted community workers who are sticky and local</w:t>
            </w:r>
          </w:p>
        </w:tc>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High — relationships cannot be copied</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Open-source + commercial hybrid</w:t>
            </w:r>
          </w:p>
        </w:tc>
        <w:tc>
          <w:tcPr>
            <w:tcW w:type="dxa" w:w="4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Core model open (drives adoption); premium features paid (drives revenue)</w:t>
            </w:r>
          </w:p>
        </w:tc>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High — communities contribute improvements</w:t>
            </w:r>
          </w:p>
        </w:tc>
      </w:tr>
      <w:tr>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Regulatory approvals</w:t>
            </w:r>
          </w:p>
        </w:tc>
        <w:tc>
          <w:tcPr>
            <w:tcW w:type="dxa" w:w="43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WHO/EPA equivalence in 5 countries creates an 18-month head start</w:t>
            </w:r>
          </w:p>
        </w:tc>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Medium — competitors can eventually catch up</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Scientific credibility</w:t>
            </w:r>
          </w:p>
        </w:tc>
        <w:tc>
          <w:tcPr>
            <w:tcW w:type="dxa" w:w="4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Peer-reviewed publications; validation across two distinct geological settings</w:t>
            </w:r>
          </w:p>
        </w:tc>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Medium — science is replicable but slow</w:t>
            </w:r>
          </w:p>
        </w:tc>
      </w:tr>
    </w:tbl>
    <w:p>
      <w:pPr>
        <w:spacing w:after="200"/>
      </w:pPr>
    </w:p>
    <w:p>
      <w:r/>
    </w:p>
    <w:p>
      <w:pPr>
        <w:pStyle w:val="Heading1"/>
        <w:spacing w:after="160" w:before="480"/>
      </w:pPr>
      <w:r>
        <w:rPr>
          <w:rFonts w:ascii="Arial" w:cs="Arial" w:eastAsia="Arial" w:hAnsi="Arial"/>
          <w:b/>
          <w:bCs/>
          <w:color w:val="0A2342"/>
          <w:sz w:val="36"/>
          <w:szCs w:val="36"/>
        </w:rPr>
        <w:t>14. Implementation Roadmap</w:t>
      </w:r>
    </w:p>
    <w:p>
      <w:pPr>
        <w:pStyle w:val="Heading2"/>
        <w:pBdr>
          <w:bottom w:val="single" w:color="007B8A" w:sz="4" w:space="4"/>
        </w:pBdr>
        <w:spacing w:after="120" w:before="320"/>
      </w:pPr>
      <w:r>
        <w:rPr>
          <w:rFonts w:ascii="Arial" w:cs="Arial" w:eastAsia="Arial" w:hAnsi="Arial"/>
          <w:b/>
          <w:bCs/>
          <w:color w:val="007B8A"/>
          <w:sz w:val="26"/>
          <w:szCs w:val="26"/>
        </w:rPr>
        <w:t>Phase 0 — Foundation (Completed)</w:t>
      </w:r>
    </w:p>
    <w:p>
      <w:pPr>
        <w:pStyle w:val="ListParagraph"/>
        <w:numPr>
          <w:ilvl w:val="0"/>
          <w:numId w:val="2"/>
        </w:numPr>
        <w:spacing w:after="80"/>
      </w:pPr>
      <w:r>
        <w:rPr>
          <w:rFonts w:ascii="Arial" w:cs="Arial" w:eastAsia="Arial" w:hAnsi="Arial"/>
          <w:color w:val="1A1A2E"/>
          <w:sz w:val="20"/>
          <w:szCs w:val="20"/>
        </w:rPr>
        <w:t>Compiled 56,952 groundwater sites across the US and Bangladesh</w:t>
      </w:r>
    </w:p>
    <w:p>
      <w:pPr>
        <w:pStyle w:val="ListParagraph"/>
        <w:numPr>
          <w:ilvl w:val="0"/>
          <w:numId w:val="2"/>
        </w:numPr>
        <w:spacing w:after="80"/>
      </w:pPr>
      <w:r>
        <w:rPr>
          <w:rFonts w:ascii="Arial" w:cs="Arial" w:eastAsia="Arial" w:hAnsi="Arial"/>
          <w:color w:val="1A1A2E"/>
          <w:sz w:val="20"/>
          <w:szCs w:val="20"/>
        </w:rPr>
        <w:t>Developed the mathematical framework: TDA, information geometry, graph theory, spatial analysis</w:t>
      </w:r>
    </w:p>
    <w:p>
      <w:pPr>
        <w:pStyle w:val="ListParagraph"/>
        <w:numPr>
          <w:ilvl w:val="0"/>
          <w:numId w:val="2"/>
        </w:numPr>
        <w:spacing w:after="80"/>
      </w:pPr>
      <w:r>
        <w:rPr>
          <w:rFonts w:ascii="Arial" w:cs="Arial" w:eastAsia="Arial" w:hAnsi="Arial"/>
          <w:color w:val="1A1A2E"/>
          <w:sz w:val="20"/>
          <w:szCs w:val="20"/>
        </w:rPr>
        <w:t>Trained and validated Phase 1 remote sensing model</w:t>
      </w:r>
    </w:p>
    <w:p>
      <w:pPr>
        <w:pStyle w:val="ListParagraph"/>
        <w:numPr>
          <w:ilvl w:val="0"/>
          <w:numId w:val="2"/>
        </w:numPr>
        <w:spacing w:after="80"/>
      </w:pPr>
      <w:r>
        <w:rPr>
          <w:rFonts w:ascii="Arial" w:cs="Arial" w:eastAsia="Arial" w:hAnsi="Arial"/>
          <w:color w:val="1A1A2E"/>
          <w:sz w:val="20"/>
          <w:szCs w:val="20"/>
        </w:rPr>
        <w:t>Achieved 0.86 AUC on Phase 1; 0.9807 AUC on Phase 2 hybrid</w:t>
      </w:r>
    </w:p>
    <w:p>
      <w:pPr>
        <w:spacing w:after="80"/>
      </w:pPr>
    </w:p>
    <w:p>
      <w:pPr>
        <w:pStyle w:val="Heading2"/>
        <w:pBdr>
          <w:bottom w:val="single" w:color="007B8A" w:sz="4" w:space="4"/>
        </w:pBdr>
        <w:spacing w:after="120" w:before="320"/>
      </w:pPr>
      <w:r>
        <w:rPr>
          <w:rFonts w:ascii="Arial" w:cs="Arial" w:eastAsia="Arial" w:hAnsi="Arial"/>
          <w:b/>
          <w:bCs/>
          <w:color w:val="007B8A"/>
          <w:sz w:val="26"/>
          <w:szCs w:val="26"/>
        </w:rPr>
        <w:t>Phase 1 — Remote Sensing Scale-Up (Months 1–6)</w:t>
      </w:r>
    </w:p>
    <w:p>
      <w:pPr>
        <w:pStyle w:val="ListParagraph"/>
        <w:numPr>
          <w:ilvl w:val="0"/>
          <w:numId w:val="2"/>
        </w:numPr>
        <w:spacing w:after="80"/>
      </w:pPr>
      <w:r>
        <w:rPr>
          <w:rFonts w:ascii="Arial" w:cs="Arial" w:eastAsia="Arial" w:hAnsi="Arial"/>
          <w:color w:val="1A1A2E"/>
          <w:sz w:val="20"/>
          <w:szCs w:val="20"/>
        </w:rPr>
        <w:t>Expand satellite data to India, Vietnam, Peru, and Sub-Saharan Africa</w:t>
      </w:r>
    </w:p>
    <w:p>
      <w:pPr>
        <w:pStyle w:val="ListParagraph"/>
        <w:numPr>
          <w:ilvl w:val="0"/>
          <w:numId w:val="2"/>
        </w:numPr>
        <w:spacing w:after="80"/>
      </w:pPr>
      <w:r>
        <w:rPr>
          <w:rFonts w:ascii="Arial" w:cs="Arial" w:eastAsia="Arial" w:hAnsi="Arial"/>
          <w:color w:val="1A1A2E"/>
          <w:sz w:val="20"/>
          <w:szCs w:val="20"/>
        </w:rPr>
        <w:t>Integrate additional public geology databases: British Geological Survey, Geological Survey of India</w:t>
      </w:r>
    </w:p>
    <w:p>
      <w:pPr>
        <w:pStyle w:val="ListParagraph"/>
        <w:numPr>
          <w:ilvl w:val="0"/>
          <w:numId w:val="2"/>
        </w:numPr>
        <w:spacing w:after="80"/>
      </w:pPr>
      <w:r>
        <w:rPr>
          <w:rFonts w:ascii="Arial" w:cs="Arial" w:eastAsia="Arial" w:hAnsi="Arial"/>
          <w:color w:val="1A1A2E"/>
          <w:sz w:val="20"/>
          <w:szCs w:val="20"/>
        </w:rPr>
        <w:t>Deploy cloud infrastructure for 10-millisecond inference at national scale</w:t>
      </w:r>
    </w:p>
    <w:p>
      <w:pPr>
        <w:pStyle w:val="ListParagraph"/>
        <w:numPr>
          <w:ilvl w:val="0"/>
          <w:numId w:val="2"/>
        </w:numPr>
        <w:spacing w:after="80"/>
      </w:pPr>
      <w:r>
        <w:rPr>
          <w:rFonts w:ascii="Arial" w:cs="Arial" w:eastAsia="Arial" w:hAnsi="Arial"/>
          <w:color w:val="1A1A2E"/>
          <w:sz w:val="20"/>
          <w:szCs w:val="20"/>
        </w:rPr>
        <w:t>Build API for government and NGO access</w:t>
      </w:r>
    </w:p>
    <w:p>
      <w:pPr>
        <w:spacing w:after="80"/>
      </w:pPr>
    </w:p>
    <w:p>
      <w:pPr>
        <w:pStyle w:val="Heading2"/>
        <w:pBdr>
          <w:bottom w:val="single" w:color="007B8A" w:sz="4" w:space="4"/>
        </w:pBdr>
        <w:spacing w:after="120" w:before="320"/>
      </w:pPr>
      <w:r>
        <w:rPr>
          <w:rFonts w:ascii="Arial" w:cs="Arial" w:eastAsia="Arial" w:hAnsi="Arial"/>
          <w:b/>
          <w:bCs/>
          <w:color w:val="007B8A"/>
          <w:sz w:val="26"/>
          <w:szCs w:val="26"/>
        </w:rPr>
        <w:t>Phase 2 — Paper Strip Development (Months 3–12)</w:t>
      </w:r>
    </w:p>
    <w:p>
      <w:pPr>
        <w:pStyle w:val="ListParagraph"/>
        <w:numPr>
          <w:ilvl w:val="0"/>
          <w:numId w:val="2"/>
        </w:numPr>
        <w:spacing w:after="80"/>
      </w:pPr>
      <w:r>
        <w:rPr>
          <w:rFonts w:ascii="Arial" w:cs="Arial" w:eastAsia="Arial" w:hAnsi="Arial"/>
          <w:color w:val="1A1A2E"/>
          <w:sz w:val="20"/>
          <w:szCs w:val="20"/>
        </w:rPr>
        <w:t>Finalise multiplexed strip design: As + Fe + Mn + pH + reference zone</w:t>
      </w:r>
    </w:p>
    <w:p>
      <w:pPr>
        <w:pStyle w:val="ListParagraph"/>
        <w:numPr>
          <w:ilvl w:val="0"/>
          <w:numId w:val="2"/>
        </w:numPr>
        <w:spacing w:after="80"/>
      </w:pPr>
      <w:r>
        <w:rPr>
          <w:rFonts w:ascii="Arial" w:cs="Arial" w:eastAsia="Arial" w:hAnsi="Arial"/>
          <w:color w:val="1A1A2E"/>
          <w:sz w:val="20"/>
          <w:szCs w:val="20"/>
        </w:rPr>
        <w:t>Validate lyophilised reagent stability at 45°C / 133× humidity for 18 months</w:t>
      </w:r>
    </w:p>
    <w:p>
      <w:pPr>
        <w:pStyle w:val="ListParagraph"/>
        <w:numPr>
          <w:ilvl w:val="0"/>
          <w:numId w:val="2"/>
        </w:numPr>
        <w:spacing w:after="80"/>
      </w:pPr>
      <w:r>
        <w:rPr>
          <w:rFonts w:ascii="Arial" w:cs="Arial" w:eastAsia="Arial" w:hAnsi="Arial"/>
          <w:color w:val="1A1A2E"/>
          <w:sz w:val="20"/>
          <w:szCs w:val="20"/>
        </w:rPr>
        <w:t>Develop smartphone app with full offline capability and automatic sync</w:t>
      </w:r>
    </w:p>
    <w:p>
      <w:pPr>
        <w:pStyle w:val="ListParagraph"/>
        <w:numPr>
          <w:ilvl w:val="0"/>
          <w:numId w:val="2"/>
        </w:numPr>
        <w:spacing w:after="80"/>
      </w:pPr>
      <w:r>
        <w:rPr>
          <w:rFonts w:ascii="Arial" w:cs="Arial" w:eastAsia="Arial" w:hAnsi="Arial"/>
          <w:color w:val="1A1A2E"/>
          <w:sz w:val="20"/>
          <w:szCs w:val="20"/>
        </w:rPr>
        <w:t>Run 10,000 parallel tests against ICP-MS for regulatory equivalence</w:t>
      </w:r>
    </w:p>
    <w:p>
      <w:pPr>
        <w:pStyle w:val="ListParagraph"/>
        <w:numPr>
          <w:ilvl w:val="0"/>
          <w:numId w:val="2"/>
        </w:numPr>
        <w:spacing w:after="80"/>
      </w:pPr>
      <w:r>
        <w:rPr>
          <w:rFonts w:ascii="Arial" w:cs="Arial" w:eastAsia="Arial" w:hAnsi="Arial"/>
          <w:color w:val="1A1A2E"/>
          <w:sz w:val="20"/>
          <w:szCs w:val="20"/>
        </w:rPr>
        <w:t>Achieve WHO/EPA screening tool approval</w:t>
      </w:r>
    </w:p>
    <w:p>
      <w:pPr>
        <w:spacing w:after="80"/>
      </w:pPr>
    </w:p>
    <w:p>
      <w:pPr>
        <w:pStyle w:val="Heading2"/>
        <w:pBdr>
          <w:bottom w:val="single" w:color="007B8A" w:sz="4" w:space="4"/>
        </w:pBdr>
        <w:spacing w:after="120" w:before="320"/>
      </w:pPr>
      <w:r>
        <w:rPr>
          <w:rFonts w:ascii="Arial" w:cs="Arial" w:eastAsia="Arial" w:hAnsi="Arial"/>
          <w:b/>
          <w:bCs/>
          <w:color w:val="007B8A"/>
          <w:sz w:val="26"/>
          <w:szCs w:val="26"/>
        </w:rPr>
        <w:t>Phase 3 — Field Pilot (Months 6–18)</w:t>
      </w:r>
    </w:p>
    <w:p>
      <w:pPr>
        <w:pStyle w:val="ListParagraph"/>
        <w:numPr>
          <w:ilvl w:val="0"/>
          <w:numId w:val="2"/>
        </w:numPr>
        <w:spacing w:after="80"/>
      </w:pPr>
      <w:r>
        <w:rPr>
          <w:rFonts w:ascii="Arial" w:cs="Arial" w:eastAsia="Arial" w:hAnsi="Arial"/>
          <w:color w:val="1A1A2E"/>
          <w:sz w:val="20"/>
          <w:szCs w:val="20"/>
        </w:rPr>
        <w:t>Deploy in 3 districts of Bangladesh: high, medium, and low risk</w:t>
      </w:r>
    </w:p>
    <w:p>
      <w:pPr>
        <w:pStyle w:val="ListParagraph"/>
        <w:numPr>
          <w:ilvl w:val="0"/>
          <w:numId w:val="2"/>
        </w:numPr>
        <w:spacing w:after="80"/>
      </w:pPr>
      <w:r>
        <w:rPr>
          <w:rFonts w:ascii="Arial" w:cs="Arial" w:eastAsia="Arial" w:hAnsi="Arial"/>
          <w:color w:val="1A1A2E"/>
          <w:sz w:val="20"/>
          <w:szCs w:val="20"/>
        </w:rPr>
        <w:t>Train 500 community health workers</w:t>
      </w:r>
    </w:p>
    <w:p>
      <w:pPr>
        <w:pStyle w:val="ListParagraph"/>
        <w:numPr>
          <w:ilvl w:val="0"/>
          <w:numId w:val="2"/>
        </w:numPr>
        <w:spacing w:after="80"/>
      </w:pPr>
      <w:r>
        <w:rPr>
          <w:rFonts w:ascii="Arial" w:cs="Arial" w:eastAsia="Arial" w:hAnsi="Arial"/>
          <w:color w:val="1A1A2E"/>
          <w:sz w:val="20"/>
          <w:szCs w:val="20"/>
        </w:rPr>
        <w:t>Collect 50,000 strip results for model feedback</w:t>
      </w:r>
    </w:p>
    <w:p>
      <w:pPr>
        <w:pStyle w:val="ListParagraph"/>
        <w:numPr>
          <w:ilvl w:val="0"/>
          <w:numId w:val="2"/>
        </w:numPr>
        <w:spacing w:after="80"/>
      </w:pPr>
      <w:r>
        <w:rPr>
          <w:rFonts w:ascii="Arial" w:cs="Arial" w:eastAsia="Arial" w:hAnsi="Arial"/>
          <w:color w:val="1A1A2E"/>
          <w:sz w:val="20"/>
          <w:szCs w:val="20"/>
        </w:rPr>
        <w:t>Measure Phase 1 accuracy improvement as Phase 2 data feeds back into training</w:t>
      </w:r>
    </w:p>
    <w:p>
      <w:pPr>
        <w:spacing w:after="80"/>
      </w:pPr>
    </w:p>
    <w:p>
      <w:pPr>
        <w:pStyle w:val="Heading2"/>
        <w:pBdr>
          <w:bottom w:val="single" w:color="007B8A" w:sz="4" w:space="4"/>
        </w:pBdr>
        <w:spacing w:after="120" w:before="320"/>
      </w:pPr>
      <w:r>
        <w:rPr>
          <w:rFonts w:ascii="Arial" w:cs="Arial" w:eastAsia="Arial" w:hAnsi="Arial"/>
          <w:b/>
          <w:bCs/>
          <w:color w:val="007B8A"/>
          <w:sz w:val="26"/>
          <w:szCs w:val="26"/>
        </w:rPr>
        <w:t>Phase 4 — National Scale (Months 12–24)</w:t>
      </w:r>
    </w:p>
    <w:p>
      <w:pPr>
        <w:pStyle w:val="ListParagraph"/>
        <w:numPr>
          <w:ilvl w:val="0"/>
          <w:numId w:val="2"/>
        </w:numPr>
        <w:spacing w:after="80"/>
      </w:pPr>
      <w:r>
        <w:rPr>
          <w:rFonts w:ascii="Arial" w:cs="Arial" w:eastAsia="Arial" w:hAnsi="Arial"/>
          <w:color w:val="1A1A2E"/>
          <w:sz w:val="20"/>
          <w:szCs w:val="20"/>
        </w:rPr>
        <w:t>Full Bangladesh deployment: 10 million wells</w:t>
      </w:r>
    </w:p>
    <w:p>
      <w:pPr>
        <w:pStyle w:val="ListParagraph"/>
        <w:numPr>
          <w:ilvl w:val="0"/>
          <w:numId w:val="2"/>
        </w:numPr>
        <w:spacing w:after="80"/>
      </w:pPr>
      <w:r>
        <w:rPr>
          <w:rFonts w:ascii="Arial" w:cs="Arial" w:eastAsia="Arial" w:hAnsi="Arial"/>
          <w:color w:val="1A1A2E"/>
          <w:sz w:val="20"/>
          <w:szCs w:val="20"/>
        </w:rPr>
        <w:t>Expand to India's Ganges-Brahmaputra basin</w:t>
      </w:r>
    </w:p>
    <w:p>
      <w:pPr>
        <w:pStyle w:val="ListParagraph"/>
        <w:numPr>
          <w:ilvl w:val="0"/>
          <w:numId w:val="2"/>
        </w:numPr>
        <w:spacing w:after="80"/>
      </w:pPr>
      <w:r>
        <w:rPr>
          <w:rFonts w:ascii="Arial" w:cs="Arial" w:eastAsia="Arial" w:hAnsi="Arial"/>
          <w:color w:val="1A1A2E"/>
          <w:sz w:val="20"/>
          <w:szCs w:val="20"/>
        </w:rPr>
        <w:t>Expand to Vietnam's Mekong Delta</w:t>
      </w:r>
    </w:p>
    <w:p>
      <w:pPr>
        <w:pStyle w:val="ListParagraph"/>
        <w:numPr>
          <w:ilvl w:val="0"/>
          <w:numId w:val="2"/>
        </w:numPr>
        <w:spacing w:after="80"/>
      </w:pPr>
      <w:r>
        <w:rPr>
          <w:rFonts w:ascii="Arial" w:cs="Arial" w:eastAsia="Arial" w:hAnsi="Arial"/>
          <w:color w:val="1A1A2E"/>
          <w:sz w:val="20"/>
          <w:szCs w:val="20"/>
        </w:rPr>
        <w:t>Expand to Peru, Chile, and Argentina for Andean geothermal arsenic</w:t>
      </w:r>
    </w:p>
    <w:p>
      <w:pPr>
        <w:spacing w:after="80"/>
      </w:pPr>
    </w:p>
    <w:p>
      <w:pPr>
        <w:pStyle w:val="Heading2"/>
        <w:pBdr>
          <w:bottom w:val="single" w:color="007B8A" w:sz="4" w:space="4"/>
        </w:pBdr>
        <w:spacing w:after="120" w:before="320"/>
      </w:pPr>
      <w:r>
        <w:rPr>
          <w:rFonts w:ascii="Arial" w:cs="Arial" w:eastAsia="Arial" w:hAnsi="Arial"/>
          <w:b/>
          <w:bCs/>
          <w:color w:val="007B8A"/>
          <w:sz w:val="26"/>
          <w:szCs w:val="26"/>
        </w:rPr>
        <w:t>Phase 5 — Global Platform (Months 18–36)</w:t>
      </w:r>
    </w:p>
    <w:p>
      <w:pPr>
        <w:pStyle w:val="ListParagraph"/>
        <w:numPr>
          <w:ilvl w:val="0"/>
          <w:numId w:val="2"/>
        </w:numPr>
        <w:spacing w:after="80"/>
      </w:pPr>
      <w:r>
        <w:rPr>
          <w:rFonts w:ascii="Arial" w:cs="Arial" w:eastAsia="Arial" w:hAnsi="Arial"/>
          <w:color w:val="1A1A2E"/>
          <w:sz w:val="20"/>
          <w:szCs w:val="20"/>
        </w:rPr>
        <w:t>Self-service platform: any country uploads well coordinates, receives a risk map</w:t>
      </w:r>
    </w:p>
    <w:p>
      <w:pPr>
        <w:pStyle w:val="ListParagraph"/>
        <w:numPr>
          <w:ilvl w:val="0"/>
          <w:numId w:val="2"/>
        </w:numPr>
        <w:spacing w:after="80"/>
      </w:pPr>
      <w:r>
        <w:rPr>
          <w:rFonts w:ascii="Arial" w:cs="Arial" w:eastAsia="Arial" w:hAnsi="Arial"/>
          <w:color w:val="1A1A2E"/>
          <w:sz w:val="20"/>
          <w:szCs w:val="20"/>
        </w:rPr>
        <w:t>Automated strip manufacturing at $0.30 per unit</w:t>
      </w:r>
    </w:p>
    <w:p>
      <w:pPr>
        <w:pStyle w:val="ListParagraph"/>
        <w:numPr>
          <w:ilvl w:val="0"/>
          <w:numId w:val="2"/>
        </w:numPr>
        <w:spacing w:after="80"/>
      </w:pPr>
      <w:r>
        <w:rPr>
          <w:rFonts w:ascii="Arial" w:cs="Arial" w:eastAsia="Arial" w:hAnsi="Arial"/>
          <w:color w:val="1A1A2E"/>
          <w:sz w:val="20"/>
          <w:szCs w:val="20"/>
        </w:rPr>
        <w:t>Integration with UN SDG 6 monitoring dashboards</w:t>
      </w:r>
    </w:p>
    <w:p>
      <w:pPr>
        <w:pStyle w:val="ListParagraph"/>
        <w:numPr>
          <w:ilvl w:val="0"/>
          <w:numId w:val="2"/>
        </w:numPr>
        <w:spacing w:after="80"/>
      </w:pPr>
      <w:r>
        <w:rPr>
          <w:rFonts w:ascii="Arial" w:cs="Arial" w:eastAsia="Arial" w:hAnsi="Arial"/>
          <w:color w:val="1A1A2E"/>
          <w:sz w:val="20"/>
          <w:szCs w:val="20"/>
        </w:rPr>
        <w:t>Expand detection to fluoride, uranium, nitrate, and additional contaminants</w:t>
      </w:r>
    </w:p>
    <w:p>
      <w:pPr>
        <w:spacing w:after="120"/>
      </w:pPr>
    </w:p>
    <w:p>
      <w:pPr>
        <w:pStyle w:val="Heading2"/>
        <w:pBdr>
          <w:bottom w:val="single" w:color="007B8A" w:sz="4" w:space="4"/>
        </w:pBdr>
        <w:spacing w:after="120" w:before="320"/>
      </w:pPr>
      <w:r>
        <w:rPr>
          <w:rFonts w:ascii="Arial" w:cs="Arial" w:eastAsia="Arial" w:hAnsi="Arial"/>
          <w:b/>
          <w:bCs/>
          <w:color w:val="007B8A"/>
          <w:sz w:val="26"/>
          <w:szCs w:val="26"/>
        </w:rPr>
        <w:t>24-Month Critical Path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960"/>
        <w:gridCol w:w="4320"/>
      </w:tblGrid>
      <w:tr>
        <w:trPr>
          <w:tblHeader/>
        </w:trPr>
        <w:tc>
          <w:tcPr>
            <w:tcW w:type="dxa" w:w="10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Quarter</w:t>
            </w:r>
          </w:p>
        </w:tc>
        <w:tc>
          <w:tcPr>
            <w:tcW w:type="dxa" w:w="39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Milestone</w:t>
            </w:r>
          </w:p>
        </w:tc>
        <w:tc>
          <w:tcPr>
            <w:tcW w:type="dxa" w:w="43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Success Metric</w:t>
            </w:r>
          </w:p>
        </w:tc>
      </w:tr>
      <w:tr>
        <w:tc>
          <w:tcPr>
            <w:tcW w:type="dxa" w:w="10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Q1</w:t>
            </w:r>
          </w:p>
        </w:tc>
        <w:tc>
          <w:tcPr>
            <w:tcW w:type="dxa" w:w="3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Strip chemistry finalised; 1,000-unit pilot run</w:t>
            </w:r>
          </w:p>
        </w:tc>
        <w:tc>
          <w:tcPr>
            <w:tcW w:type="dxa" w:w="4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18-month stability at 45°C/133× humidity</w:t>
            </w:r>
          </w:p>
        </w:tc>
      </w:tr>
      <w:tr>
        <w:tc>
          <w:tcPr>
            <w:tcW w:type="dxa" w:w="10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Q1</w:t>
            </w:r>
          </w:p>
        </w:tc>
        <w:tc>
          <w:tcPr>
            <w:tcW w:type="dxa" w:w="39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Bangladesh MOU signed; 3 districts selected</w:t>
            </w:r>
          </w:p>
        </w:tc>
        <w:tc>
          <w:tcPr>
            <w:tcW w:type="dxa" w:w="43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Signed agreement with DPHE</w:t>
            </w:r>
          </w:p>
        </w:tc>
      </w:tr>
      <w:tr>
        <w:tc>
          <w:tcPr>
            <w:tcW w:type="dxa" w:w="10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Q2</w:t>
            </w:r>
          </w:p>
        </w:tc>
        <w:tc>
          <w:tcPr>
            <w:tcW w:type="dxa" w:w="3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50 health workers trained; 5,000 wells tested</w:t>
            </w:r>
          </w:p>
        </w:tc>
        <w:tc>
          <w:tcPr>
            <w:tcW w:type="dxa" w:w="4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95% data quality score</w:t>
            </w:r>
          </w:p>
        </w:tc>
      </w:tr>
      <w:tr>
        <w:tc>
          <w:tcPr>
            <w:tcW w:type="dxa" w:w="10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Q2</w:t>
            </w:r>
          </w:p>
        </w:tc>
        <w:tc>
          <w:tcPr>
            <w:tcW w:type="dxa" w:w="39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India (Bihar) pilot launched; 50 ASHA workers trained</w:t>
            </w:r>
          </w:p>
        </w:tc>
        <w:tc>
          <w:tcPr>
            <w:tcW w:type="dxa" w:w="43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State health department approval</w:t>
            </w:r>
          </w:p>
        </w:tc>
      </w:tr>
      <w:tr>
        <w:tc>
          <w:tcPr>
            <w:tcW w:type="dxa" w:w="10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Q3</w:t>
            </w:r>
          </w:p>
        </w:tc>
        <w:tc>
          <w:tcPr>
            <w:tcW w:type="dxa" w:w="3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10,000-strip validation study vs. ICP-MS</w:t>
            </w:r>
          </w:p>
        </w:tc>
        <w:tc>
          <w:tcPr>
            <w:tcW w:type="dxa" w:w="4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R² &gt; 0.90; bias &lt; 10%</w:t>
            </w:r>
          </w:p>
        </w:tc>
      </w:tr>
      <w:tr>
        <w:tc>
          <w:tcPr>
            <w:tcW w:type="dxa" w:w="10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Q3</w:t>
            </w:r>
          </w:p>
        </w:tc>
        <w:tc>
          <w:tcPr>
            <w:tcW w:type="dxa" w:w="39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WHO pre-submission meeting</w:t>
            </w:r>
          </w:p>
        </w:tc>
        <w:tc>
          <w:tcPr>
            <w:tcW w:type="dxa" w:w="43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Clear equivalence pathway identified</w:t>
            </w:r>
          </w:p>
        </w:tc>
      </w:tr>
      <w:tr>
        <w:tc>
          <w:tcPr>
            <w:tcW w:type="dxa" w:w="10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Q4</w:t>
            </w:r>
          </w:p>
        </w:tc>
        <w:tc>
          <w:tcPr>
            <w:tcW w:type="dxa" w:w="3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Bangladesh national expansion (10 districts)</w:t>
            </w:r>
          </w:p>
        </w:tc>
        <w:tc>
          <w:tcPr>
            <w:tcW w:type="dxa" w:w="4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$1M contract signed</w:t>
            </w:r>
          </w:p>
        </w:tc>
      </w:tr>
      <w:tr>
        <w:tc>
          <w:tcPr>
            <w:tcW w:type="dxa" w:w="10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Q4</w:t>
            </w:r>
          </w:p>
        </w:tc>
        <w:tc>
          <w:tcPr>
            <w:tcW w:type="dxa" w:w="39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Enterprise pilot: 2 mining companies</w:t>
            </w:r>
          </w:p>
        </w:tc>
        <w:tc>
          <w:tcPr>
            <w:tcW w:type="dxa" w:w="43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$50K pilots signed</w:t>
            </w:r>
          </w:p>
        </w:tc>
      </w:tr>
      <w:tr>
        <w:tc>
          <w:tcPr>
            <w:tcW w:type="dxa" w:w="10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Q5</w:t>
            </w:r>
          </w:p>
        </w:tc>
        <w:tc>
          <w:tcPr>
            <w:tcW w:type="dxa" w:w="3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India national tender (Jal Jeevan Mission)</w:t>
            </w:r>
          </w:p>
        </w:tc>
        <w:tc>
          <w:tcPr>
            <w:tcW w:type="dxa" w:w="4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Shortlisted</w:t>
            </w:r>
          </w:p>
        </w:tc>
      </w:tr>
      <w:tr>
        <w:tc>
          <w:tcPr>
            <w:tcW w:type="dxa" w:w="10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Q6</w:t>
            </w:r>
          </w:p>
        </w:tc>
        <w:tc>
          <w:tcPr>
            <w:tcW w:type="dxa" w:w="39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Vietnam pilot launch</w:t>
            </w:r>
          </w:p>
        </w:tc>
        <w:tc>
          <w:tcPr>
            <w:tcW w:type="dxa" w:w="43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MONRE approval</w:t>
            </w:r>
          </w:p>
        </w:tc>
      </w:tr>
      <w:tr>
        <w:tc>
          <w:tcPr>
            <w:tcW w:type="dxa" w:w="10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Q6</w:t>
            </w:r>
          </w:p>
        </w:tc>
        <w:tc>
          <w:tcPr>
            <w:tcW w:type="dxa" w:w="3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Series B close</w:t>
            </w:r>
          </w:p>
        </w:tc>
        <w:tc>
          <w:tcPr>
            <w:tcW w:type="dxa" w:w="4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$15M at $60M valuation</w:t>
            </w:r>
          </w:p>
        </w:tc>
      </w:tr>
      <w:tr>
        <w:tc>
          <w:tcPr>
            <w:tcW w:type="dxa" w:w="10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Q7</w:t>
            </w:r>
          </w:p>
        </w:tc>
        <w:tc>
          <w:tcPr>
            <w:tcW w:type="dxa" w:w="39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 million wells screened cumulative</w:t>
            </w:r>
          </w:p>
        </w:tc>
        <w:tc>
          <w:tcPr>
            <w:tcW w:type="dxa" w:w="43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Milestone reached</w:t>
            </w:r>
          </w:p>
        </w:tc>
      </w:tr>
      <w:tr>
        <w:tc>
          <w:tcPr>
            <w:tcW w:type="dxa" w:w="10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Q8</w:t>
            </w:r>
          </w:p>
        </w:tc>
        <w:tc>
          <w:tcPr>
            <w:tcW w:type="dxa" w:w="3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Monthly profitability</w:t>
            </w:r>
          </w:p>
        </w:tc>
        <w:tc>
          <w:tcPr>
            <w:tcW w:type="dxa" w:w="43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Positive EBITDA</w:t>
            </w:r>
          </w:p>
        </w:tc>
      </w:tr>
    </w:tbl>
    <w:p>
      <w:pPr>
        <w:spacing w:after="200"/>
      </w:pPr>
    </w:p>
    <w:p>
      <w:r/>
    </w:p>
    <w:p>
      <w:pPr>
        <w:pStyle w:val="Heading1"/>
        <w:spacing w:after="160" w:before="480"/>
      </w:pPr>
      <w:r>
        <w:rPr>
          <w:rFonts w:ascii="Arial" w:cs="Arial" w:eastAsia="Arial" w:hAnsi="Arial"/>
          <w:b/>
          <w:bCs/>
          <w:color w:val="0A2342"/>
          <w:sz w:val="36"/>
          <w:szCs w:val="36"/>
        </w:rPr>
        <w:t>15.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00"/>
        <w:gridCol w:w="1080"/>
        <w:gridCol w:w="4560"/>
      </w:tblGrid>
      <w:tr>
        <w:trPr>
          <w:tblHeader/>
        </w:trPr>
        <w:tc>
          <w:tcPr>
            <w:tcW w:type="dxa" w:w="25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Risk</w:t>
            </w:r>
          </w:p>
        </w:tc>
        <w:tc>
          <w:tcPr>
            <w:tcW w:type="dxa" w:w="12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Likelihood</w:t>
            </w:r>
          </w:p>
        </w:tc>
        <w:tc>
          <w:tcPr>
            <w:tcW w:type="dxa" w:w="10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Impact</w:t>
            </w:r>
          </w:p>
        </w:tc>
        <w:tc>
          <w:tcPr>
            <w:tcW w:type="dxa" w:w="45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Mitigation</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Strip chemistry degrades in tropical heat</w:t>
            </w:r>
          </w:p>
        </w:tc>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Medium</w:t>
            </w:r>
          </w:p>
        </w:tc>
        <w:tc>
          <w:tcPr>
            <w:tcW w:type="dxa" w:w="10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High</w:t>
            </w:r>
          </w:p>
        </w:tc>
        <w:tc>
          <w:tcPr>
            <w:tcW w:type="dxa" w:w="4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Trehalose encapsulation; oxygen-barrier foil pouches; accelerated ageing tests</w:t>
            </w:r>
          </w:p>
        </w:tc>
      </w:tr>
      <w:tr>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Regulatory approval delayed beyond 24 months</w:t>
            </w:r>
          </w:p>
        </w:tc>
        <w:tc>
          <w:tcPr>
            <w:tcW w:type="dxa" w:w="12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Medium</w:t>
            </w:r>
          </w:p>
        </w:tc>
        <w:tc>
          <w:tcPr>
            <w:tcW w:type="dxa" w:w="10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High</w:t>
            </w:r>
          </w:p>
        </w:tc>
        <w:tc>
          <w:tcPr>
            <w:tcW w:type="dxa" w:w="4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Early engagement with WHO/EPA; parallel track with national ministries; research exemption while waiting</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Satellite data gaps in target countries</w:t>
            </w:r>
          </w:p>
        </w:tc>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Low</w:t>
            </w:r>
          </w:p>
        </w:tc>
        <w:tc>
          <w:tcPr>
            <w:tcW w:type="dxa" w:w="10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Medium</w:t>
            </w:r>
          </w:p>
        </w:tc>
        <w:tc>
          <w:tcPr>
            <w:tcW w:type="dxa" w:w="4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Partner with Planet Labs / Maxar for commercial imagery backup</w:t>
            </w:r>
          </w:p>
        </w:tc>
      </w:tr>
      <w:tr>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Community distrust of new technology</w:t>
            </w:r>
          </w:p>
        </w:tc>
        <w:tc>
          <w:tcPr>
            <w:tcW w:type="dxa" w:w="12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Medium</w:t>
            </w:r>
          </w:p>
        </w:tc>
        <w:tc>
          <w:tcPr>
            <w:tcW w:type="dxa" w:w="10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Medium</w:t>
            </w:r>
          </w:p>
        </w:tc>
        <w:tc>
          <w:tcPr>
            <w:tcW w:type="dxa" w:w="4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Co-design with local health workers; transparent feedback loop; village demonstrations before rollout</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Model accuracy drops in novel geology</w:t>
            </w:r>
          </w:p>
        </w:tc>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Medium</w:t>
            </w:r>
          </w:p>
        </w:tc>
        <w:tc>
          <w:tcPr>
            <w:tcW w:type="dxa" w:w="10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High</w:t>
            </w:r>
          </w:p>
        </w:tc>
        <w:tc>
          <w:tcPr>
            <w:tcW w:type="dxa" w:w="4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Require 100–200 calibration samples in any new region; flag high-uncertainty wells for physical testing</w:t>
            </w:r>
          </w:p>
        </w:tc>
      </w:tr>
      <w:tr>
        <w:tc>
          <w:tcPr>
            <w:tcW w:type="dxa" w:w="2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Funding runway shortfall</w:t>
            </w:r>
          </w:p>
        </w:tc>
        <w:tc>
          <w:tcPr>
            <w:tcW w:type="dxa" w:w="12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High</w:t>
            </w:r>
          </w:p>
        </w:tc>
        <w:tc>
          <w:tcPr>
            <w:tcW w:type="dxa" w:w="10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Critical</w:t>
            </w:r>
          </w:p>
        </w:tc>
        <w:tc>
          <w:tcPr>
            <w:tcW w:type="dxa" w:w="4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Series A target $5M; concurrent grant applications to Gates Foundation, USAID, GIZ</w:t>
            </w:r>
          </w:p>
        </w:tc>
      </w:tr>
      <w:tr>
        <w:tc>
          <w:tcPr>
            <w:tcW w:type="dxa" w:w="2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Liability for false negative result</w:t>
            </w:r>
          </w:p>
        </w:tc>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Low</w:t>
            </w:r>
          </w:p>
        </w:tc>
        <w:tc>
          <w:tcPr>
            <w:tcW w:type="dxa" w:w="10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High</w:t>
            </w:r>
          </w:p>
        </w:tc>
        <w:tc>
          <w:tcPr>
            <w:tcW w:type="dxa" w:w="4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Insurance; clear 'screening tool' labelling on all outputs; conformal prediction intervals on every prediction</w:t>
            </w:r>
          </w:p>
        </w:tc>
      </w:tr>
    </w:tbl>
    <w:p>
      <w:pPr>
        <w:spacing w:after="200"/>
      </w:pPr>
    </w:p>
    <w:p>
      <w:r/>
    </w:p>
    <w:p>
      <w:pPr>
        <w:pStyle w:val="Heading1"/>
        <w:spacing w:after="160" w:before="480"/>
      </w:pPr>
      <w:r>
        <w:rPr>
          <w:rFonts w:ascii="Arial" w:cs="Arial" w:eastAsia="Arial" w:hAnsi="Arial"/>
          <w:b/>
          <w:bCs/>
          <w:color w:val="0A2342"/>
          <w:sz w:val="36"/>
          <w:szCs w:val="36"/>
        </w:rPr>
        <w:t>16. Team &amp; Ownership</w:t>
      </w:r>
    </w:p>
    <w:p>
      <w:pPr>
        <w:spacing w:after="120" w:line="320"/>
      </w:pPr>
      <w:r>
        <w:rPr>
          <w:rFonts w:ascii="Arial" w:cs="Arial" w:eastAsia="Arial" w:hAnsi="Arial"/>
          <w:color w:val="1A1A2E"/>
          <w:sz w:val="20"/>
          <w:szCs w:val="20"/>
        </w:rPr>
        <w:t>Thalassos was founded by Taha and Dhruvin, who together cover the full stack from satellite geophysics and machine learning to field operations and business development. Both founders are hands-on builders with a shared conviction that the world's groundwater crisis is solvable — not by pouring more money into expensive labs, but by reading the signals the earth has always been broadcasting.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1800"/>
        <w:gridCol w:w="5520"/>
      </w:tblGrid>
      <w:tr>
        <w:trPr>
          <w:tblHeader/>
        </w:trPr>
        <w:tc>
          <w:tcPr>
            <w:tcW w:type="dxa" w:w="204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Role</w:t>
            </w:r>
          </w:p>
        </w:tc>
        <w:tc>
          <w:tcPr>
            <w:tcW w:type="dxa" w:w="18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Owner</w:t>
            </w:r>
          </w:p>
        </w:tc>
        <w:tc>
          <w:tcPr>
            <w:tcW w:type="dxa" w:w="55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Responsibility</w:t>
            </w:r>
          </w:p>
        </w:tc>
      </w:tr>
      <w:tr>
        <w:tc>
          <w:tcPr>
            <w:tcW w:type="dxa" w:w="20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Co-Founder &amp; CTO</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Taha</w:t>
            </w:r>
          </w:p>
        </w:tc>
        <w:tc>
          <w:tcPr>
            <w:tcW w:type="dxa" w:w="5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Phase 1 remote sensing model; cloud infrastructure; API development; satellite data partnerships</w:t>
            </w:r>
          </w:p>
        </w:tc>
      </w:tr>
      <w:tr>
        <w:tc>
          <w:tcPr>
            <w:tcW w:type="dxa" w:w="20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Co-Founder &amp; CEO</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Dhruvin</w:t>
            </w:r>
          </w:p>
        </w:tc>
        <w:tc>
          <w:tcPr>
            <w:tcW w:type="dxa" w:w="5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Strategy; business development; fundraising; government and NGO partnerships; investor relations</w:t>
            </w:r>
          </w:p>
        </w:tc>
      </w:tr>
      <w:tr>
        <w:tc>
          <w:tcPr>
            <w:tcW w:type="dxa" w:w="20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Chief Scientist</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[TBH]</w:t>
            </w:r>
          </w:p>
        </w:tc>
        <w:tc>
          <w:tcPr>
            <w:tcW w:type="dxa" w:w="5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Phase 2 strip chemistry; 98.07% accuracy target; regulatory validation</w:t>
            </w:r>
          </w:p>
        </w:tc>
      </w:tr>
      <w:tr>
        <w:tc>
          <w:tcPr>
            <w:tcW w:type="dxa" w:w="204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VP Field Operations</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[TBH]</w:t>
            </w:r>
          </w:p>
        </w:tc>
        <w:tc>
          <w:tcPr>
            <w:tcW w:type="dxa" w:w="55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Bangladesh pilot; health worker training; logistics; data collection quality</w:t>
            </w:r>
          </w:p>
        </w:tc>
      </w:tr>
      <w:tr>
        <w:tc>
          <w:tcPr>
            <w:tcW w:type="dxa" w:w="204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Regulatory Affairs</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[TBH]</w:t>
            </w:r>
          </w:p>
        </w:tc>
        <w:tc>
          <w:tcPr>
            <w:tcW w:type="dxa" w:w="55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WHO/EPA equivalence; 10,000-test validation study; country approval pathways</w:t>
            </w:r>
          </w:p>
        </w:tc>
      </w:tr>
    </w:tbl>
    <w:p>
      <w:pPr>
        <w:spacing w:after="200"/>
      </w:pPr>
    </w:p>
    <w:p>
      <w:r/>
    </w:p>
    <w:p>
      <w:pPr>
        <w:pStyle w:val="Heading1"/>
        <w:spacing w:after="160" w:before="480"/>
      </w:pPr>
      <w:r>
        <w:rPr>
          <w:rFonts w:ascii="Arial" w:cs="Arial" w:eastAsia="Arial" w:hAnsi="Arial"/>
          <w:b/>
          <w:bCs/>
          <w:color w:val="0A2342"/>
          <w:sz w:val="36"/>
          <w:szCs w:val="36"/>
        </w:rPr>
        <w:t>Appendix A — Complete Parameter Table (1–73)</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420"/>
        <w:gridCol w:w="2760"/>
        <w:gridCol w:w="3480"/>
        <w:gridCol w:w="1800"/>
      </w:tblGrid>
      <w:tr>
        <w:trPr>
          <w:tblHeader/>
        </w:trPr>
        <w:tc>
          <w:tcPr>
            <w:tcW w:type="dxa" w:w="42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w:t>
            </w:r>
          </w:p>
        </w:tc>
        <w:tc>
          <w:tcPr>
            <w:tcW w:type="dxa" w:w="27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Parameter</w:t>
            </w:r>
          </w:p>
        </w:tc>
        <w:tc>
          <w:tcPr>
            <w:tcW w:type="dxa" w:w="348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Acquisition Method</w:t>
            </w:r>
          </w:p>
        </w:tc>
        <w:tc>
          <w:tcPr>
            <w:tcW w:type="dxa" w:w="18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Category</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Elevation</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Remote Sensing (SRTM)</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Topography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Slope</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Remote Sensing (derived)</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Topography</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Aspect</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Remote Sensing (derived)</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Topography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4</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Flow Direction</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Remote Sensing (D8 algorithm)</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Hydrology</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Flow Accumulation</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Remote Sensing (D8 algorithm)</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Hydrology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6</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Drainage Density</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Remote Sensing (HydroSHEDS)</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Hydrology</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7</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Surface Temperature</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Remote Sensing (ASTER/ECOSTRESS)</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Thermal</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8</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Thermal Inertia</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Remote Sensing (ASTER derived)</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Thermal</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9</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Iron Oxide Index</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Remote Sensing (Landsat/Sentinel/ASTER)</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Spectral</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10</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Clay Mineral Index</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Remote Sensing (ASTER/Sentinel)</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Spectral</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11</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Carbonate Index</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Remote Sensing (ASTER/hyperspectral)</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Spectral</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12</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Sulfate Index</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Remote Sensing (ASTER/hyperspectral)</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Spectral</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13</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Silica/Quartz Index</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Remote Sensing (ASTER/hyperspectral)</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Spectral</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14</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NDVI / Vegetation Cover</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Remote Sensing (Landsat/Sentinel)</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Vegetation</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15</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Vegetation Stress / Red Edge</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Remote Sensing (Sentinel-2)</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Vegetation</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16</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Surface Water Extent</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Remote Sensing (Landsat/Sentinel)</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Hydrology</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17</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Ground Subsidence</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Remote Sensing (Sentinel-1 InSAR)</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Deformation</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18</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Terrestrial Water Storage</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Remote Sensing (GRACE-FO)</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Gravity</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19</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Bouguer Gravity Anomaly</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Remote Sensing (GOCE)</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Gravity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20</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Crustal Magnetic Field</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Remote Sensing (Swarm)</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Magnetics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21</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Bedrock Lithology</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(USGS/OneGeology)</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Geology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22</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Aquifer Type</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(hydrogeological surveys)</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Geology</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23</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Permeability</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(pump tests/literature)</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Geology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24</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Baseline Redox State</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(aquifer characterisation)</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Geology</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25</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Aquifer Thickness</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(borehole logs)</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Geology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26</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Depth to Bedrock</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(gravity/seismic/well logs)</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Geology</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27</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Confining Layer Presence</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(geological cross-sections)</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Geology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28</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Porosity</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(core data)</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Geology</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29</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Transmissivity</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(aquifer test archives)</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Geology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30</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pH Buffering Capacity</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(carbonate content)</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Geology</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31</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Residence Time</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(isotope studies)</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Geology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32</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Glaciation Period</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(Quaternary Atlas)</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Geology</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33</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Glacial Deposit Type</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(Quaternary maps)</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Geology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34</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Paleoice Thickness</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(glacial reconstructions)</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Geology</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35</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Fault Proximity</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(structural databases)</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Geology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36</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Tectonic Activity</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(seismotectonic maps)</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Geology</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37</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Fold Proximity</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(structural databases)</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Geology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38</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Lineament Density</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(satellite interpretation)</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Geology</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39</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Seismic Hazard</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(USGS/seismic hazard maps)</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Geology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40</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Well Depth</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(well completion reports)</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Well Data</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41</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Well Coordinates</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Public GIS (GPS surveys/registries)</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Well Data</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42</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Arsenic (Total)</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Paper Strip (ArsR synbio/gold nanoparticles)</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Chemistry</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43</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Iron (Fe²⁺/Fe³⁺)</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Paper Strip (ferrozine/phenanthroline)</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Chemistry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44</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Manganese (Mn²⁺)</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Paper Strip (formaldoxime/periodate)</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Chemistry</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45</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pH</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Paper Strip (universal indicator/anthocyanin)</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Chemistry</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46</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Reference / Control</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Paper Strip (inert dye standard)</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Calibration</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47</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H0 Persistence Proxy</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(TDA)</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48</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H1 Cycle Proxy</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(TDA)</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49</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Persistence Entropy</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(TDA)</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50</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Wasserstein Distance Proxy</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(TDA)</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51</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Betti Statistics</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(TDA)</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52</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Local Homology Proxy</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(TDA)</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53</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Neighbour Distance Variability</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(TDA)</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54</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Fisher Information</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(information geometry)</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55</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KL Divergence</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(information geometry)</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56</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Bhattacharyya Distance</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(information geometry)</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57</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Hellinger Distance</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(information geometry)</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58</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Neighbourhood Curvature</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(information geometry)</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59</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Composite Information Score</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(information geometry)</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60</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PageRank Centrality</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(graph theory)</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61</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Betweenness Centrality</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(graph theory)</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62</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Closeness Centrality</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(graph theory)</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63</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Eigenvector Centrality</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(graph theory)</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64</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Local Clustering Coefficient</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(graph theory)</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65</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Contamination-Flow Score</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(graph theory)</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66</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Box-Counting Dimension</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(spatial analysis)</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67</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Hurst Exponent</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(spatial analysis)</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68</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Multispatial Spectrum Width</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(spatial analysis)</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69</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Permeability-Redox Interaction</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(composite feature)</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70</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Age-Residence Interaction</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(composite feature)</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71</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Geochemical Favourability Index</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(composite feature)</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72</w:t>
            </w:r>
          </w:p>
        </w:tc>
        <w:tc>
          <w:tcPr>
            <w:tcW w:type="dxa" w:w="27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Arsenic Source Potential</w:t>
            </w:r>
          </w:p>
        </w:tc>
        <w:tc>
          <w:tcPr>
            <w:tcW w:type="dxa" w:w="348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(composite feature)</w:t>
            </w:r>
          </w:p>
        </w:tc>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r>
        <w:tc>
          <w:tcPr>
            <w:tcW w:type="dxa" w:w="42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73</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Mobilisation-Transport Potential</w:t>
            </w:r>
          </w:p>
        </w:tc>
        <w:tc>
          <w:tcPr>
            <w:tcW w:type="dxa" w:w="34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Derived (composite feature)</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Mathematics</w:t>
            </w:r>
          </w:p>
        </w:tc>
      </w:tr>
    </w:tbl>
    <w:p>
      <w:pPr>
        <w:spacing w:after="200"/>
      </w:pPr>
    </w:p>
    <w:p>
      <w:r/>
    </w:p>
    <w:p>
      <w:pPr>
        <w:pStyle w:val="Heading1"/>
        <w:spacing w:after="160" w:before="480"/>
      </w:pPr>
      <w:r>
        <w:rPr>
          <w:rFonts w:ascii="Arial" w:cs="Arial" w:eastAsia="Arial" w:hAnsi="Arial"/>
          <w:b/>
          <w:bCs/>
          <w:color w:val="0A2342"/>
          <w:sz w:val="36"/>
          <w:szCs w:val="36"/>
        </w:rPr>
        <w:t>Appendix B — Key 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Term</w:t>
            </w:r>
          </w:p>
        </w:tc>
        <w:tc>
          <w:tcPr>
            <w:tcW w:type="dxa" w:w="7560"/>
            <w:tcBorders>
              <w:top w:val="single" w:color="D0D5DD" w:sz="1"/>
              <w:left w:val="single" w:color="D0D5DD" w:sz="1"/>
              <w:bottom w:val="single" w:color="D0D5DD" w:sz="1"/>
              <w:right w:val="single" w:color="D0D5DD" w:sz="1"/>
            </w:tcBorders>
            <w:shd w:fill="0A234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Definition</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AUC</w:t>
            </w:r>
          </w:p>
        </w:tc>
        <w:tc>
          <w:tcPr>
            <w:tcW w:type="dxa" w:w="7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Area Under the Receiver Operating Characteristic Curve. Measures model discrimination; 1.0 = perfect, 0.5 = random.</w:t>
            </w:r>
          </w:p>
        </w:tc>
      </w:tr>
      <w:tr>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CHW</w:t>
            </w:r>
          </w:p>
        </w:tc>
        <w:tc>
          <w:tcPr>
            <w:tcW w:type="dxa" w:w="7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Community Health Worker — local health agent trained to deliver basic health services.</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DALY</w:t>
            </w:r>
          </w:p>
        </w:tc>
        <w:tc>
          <w:tcPr>
            <w:tcW w:type="dxa" w:w="7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Disability-Adjusted Life Year — a measure of overall disease burden.</w:t>
            </w:r>
          </w:p>
        </w:tc>
      </w:tr>
      <w:tr>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DEM</w:t>
            </w:r>
          </w:p>
        </w:tc>
        <w:tc>
          <w:tcPr>
            <w:tcW w:type="dxa" w:w="7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Digital Elevation Model — a 3D representation of terrain surface.</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ESG</w:t>
            </w:r>
          </w:p>
        </w:tc>
        <w:tc>
          <w:tcPr>
            <w:tcW w:type="dxa" w:w="7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Environmental, Social, and Governance — investor criteria for sustainable business practice.</w:t>
            </w:r>
          </w:p>
        </w:tc>
      </w:tr>
      <w:tr>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r>
          </w:p>
        </w:tc>
        <w:tc>
          <w:tcPr>
            <w:tcW w:type="dxa" w:w="7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Spatial Risk Assessment and Contamination Topological Analysis Layer — Thalassos's core AI framework.</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ICP-MS</w:t>
            </w:r>
          </w:p>
        </w:tc>
        <w:tc>
          <w:tcPr>
            <w:tcW w:type="dxa" w:w="7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Inductively Coupled Plasma Mass Spectrometry — gold-standard laboratory method for trace element analysis.</w:t>
            </w:r>
          </w:p>
        </w:tc>
      </w:tr>
      <w:tr>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KDE</w:t>
            </w:r>
          </w:p>
        </w:tc>
        <w:tc>
          <w:tcPr>
            <w:tcW w:type="dxa" w:w="7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Kernel Density Estimation — a non-parametric method to estimate probability density functions.</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LTV</w:t>
            </w:r>
          </w:p>
        </w:tc>
        <w:tc>
          <w:tcPr>
            <w:tcW w:type="dxa" w:w="7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Lifetime Value of a customer.</w:t>
            </w:r>
          </w:p>
        </w:tc>
      </w:tr>
      <w:tr>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MCL</w:t>
            </w:r>
          </w:p>
        </w:tc>
        <w:tc>
          <w:tcPr>
            <w:tcW w:type="dxa" w:w="7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Maximum Contaminant Level (EPA) — the highest permissible level of a contaminant in drinking water.</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PHI</w:t>
            </w:r>
          </w:p>
        </w:tc>
        <w:tc>
          <w:tcPr>
            <w:tcW w:type="dxa" w:w="7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Planetary Hydrogeological Intelligence — Thalassos's broader platform vision.</w:t>
            </w:r>
          </w:p>
        </w:tc>
      </w:tr>
      <w:tr>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SAM / SOM / TAM</w:t>
            </w:r>
          </w:p>
        </w:tc>
        <w:tc>
          <w:tcPr>
            <w:tcW w:type="dxa" w:w="7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Serviceable Addressable Market / Serviceable Obtainable Market / Total Addressable Market.</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SDG</w:t>
            </w:r>
          </w:p>
        </w:tc>
        <w:tc>
          <w:tcPr>
            <w:tcW w:type="dxa" w:w="7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Sustainable Development Goal (UN).</w:t>
            </w:r>
          </w:p>
        </w:tc>
      </w:tr>
      <w:tr>
        <w:tc>
          <w:tcPr>
            <w:tcW w:type="dxa" w:w="180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TDA</w:t>
            </w:r>
          </w:p>
        </w:tc>
        <w:tc>
          <w:tcPr>
            <w:tcW w:type="dxa" w:w="7560"/>
            <w:tcBorders>
              <w:top w:val="single" w:color="D0D5DD" w:sz="1"/>
              <w:left w:val="single" w:color="D0D5DD" w:sz="1"/>
              <w:bottom w:val="single" w:color="D0D5DD" w:sz="1"/>
              <w:right w:val="single" w:color="D0D5DD" w:sz="1"/>
            </w:tcBorders>
            <w:shd w:fill="EEF8FA" w:val="clear"/>
            <w:tcMar>
              <w:top w:type="dxa" w:w="70"/>
              <w:left w:type="dxa" w:w="120"/>
              <w:bottom w:type="dxa" w:w="70"/>
              <w:right w:type="dxa" w:w="120"/>
            </w:tcMar>
            <w:vAlign w:val="center"/>
          </w:tcPr>
          <w:p>
            <w:r>
              <w:rPr>
                <w:rFonts w:ascii="Arial" w:cs="Arial" w:eastAsia="Arial" w:hAnsi="Arial"/>
                <w:b w:val="false"/>
                <w:bCs w:val="false"/>
                <w:color w:val="1A1A2E"/>
                <w:sz w:val="18"/>
                <w:szCs w:val="18"/>
              </w:rPr>
              <w:t>Topological Data Analysis — a branch of mathematics that characterises the shape and structure of data.</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WHO</w:t>
            </w:r>
          </w:p>
        </w:tc>
        <w:tc>
          <w:tcPr>
            <w:tcW w:type="dxa" w:w="7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8"/>
                <w:szCs w:val="18"/>
              </w:rPr>
              <w:t>World Health Organization.</w:t>
            </w:r>
          </w:p>
        </w:tc>
      </w:tr>
    </w:tbl>
    <w:p>
      <w:pPr>
        <w:spacing w:after="160"/>
      </w:pPr>
    </w:p>
    <w:p>
      <w:pPr>
        <w:pBdr>
          <w:top w:val="single" w:color="D0D5DD" w:sz="4" w:space="8"/>
        </w:pBdr>
        <w:spacing w:after="80" w:before="480"/>
        <w:jc w:val="center"/>
      </w:pPr>
      <w:r>
        <w:rPr>
          <w:rFonts w:ascii="Arial" w:cs="Arial" w:eastAsia="Arial" w:hAnsi="Arial"/>
          <w:i/>
          <w:iCs/>
          <w:color w:val="444444"/>
          <w:sz w:val="18"/>
          <w:szCs w:val="18"/>
        </w:rPr>
        <w:t>Document Version 1.0 · May 2026 · Confidential — Investor &amp; Board Use Only</w:t>
      </w:r>
    </w:p>
    <w:p>
      <w:pPr>
        <w:spacing w:after="80"/>
        <w:jc w:val="center"/>
      </w:pPr>
      <w:r>
        <w:rPr>
          <w:rFonts w:ascii="Arial" w:cs="Arial" w:eastAsia="Arial" w:hAnsi="Arial"/>
          <w:b/>
          <w:bCs/>
          <w:color w:val="0A2342"/>
          <w:sz w:val="18"/>
          <w:szCs w:val="18"/>
        </w:rPr>
        <w:t>Thalassos · Founded by Taha &amp; Dhruvin</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4"/>
      </w:pBdr>
      <w:tabs>
        <w:tab w:val="right" w:pos="9026"/>
      </w:tabs>
      <w:spacing w:before="80"/>
    </w:pPr>
    <w:r>
      <w:rPr>
        <w:rFonts w:ascii="Arial" w:cs="Arial" w:eastAsia="Arial" w:hAnsi="Arial"/>
        <w:color w:val="444444"/>
        <w:sz w:val="16"/>
        <w:szCs w:val="16"/>
      </w:rPr>
      <w:t xml:space="preserve">Confidential — Thalassos, 2026</w:t>
    </w:r>
    <w:r>
      <w:rPr>
        <w:rFonts w:ascii="Arial" w:cs="Arial" w:eastAsia="Arial" w:hAnsi="Arial"/>
        <w:sz w:val="16"/>
        <w:szCs w:val="16"/>
      </w:rPr>
      <w:t xml:space="preserve">	</w:t>
    </w:r>
    <w:r>
      <w:rPr>
        <w:rFonts w:ascii="Arial" w:cs="Arial" w:eastAsia="Arial" w:hAnsi="Arial"/>
        <w:color w:val="444444"/>
        <w:sz w:val="16"/>
        <w:szCs w:val="16"/>
      </w:rPr>
      <w:t xml:space="preserve">Page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B8A" w:sz="4" w:space="4"/>
      </w:pBdr>
      <w:tabs>
        <w:tab w:val="right" w:pos="9026"/>
      </w:tabs>
      <w:spacing w:after="80"/>
    </w:pPr>
    <w:r>
      <w:rPr>
        <w:rFonts w:ascii="Arial" w:cs="Arial" w:eastAsia="Arial" w:hAnsi="Arial"/>
        <w:b/>
        <w:bCs/>
        <w:color w:val="0A2342"/>
        <w:sz w:val="18"/>
        <w:szCs w:val="18"/>
      </w:rPr>
      <w:t xml:space="preserve">THALASSOS  ·  FRaCTAL</w:t>
    </w:r>
    <w:r>
      <w:rPr>
        <w:rFonts w:ascii="Arial" w:cs="Arial" w:eastAsia="Arial" w:hAnsi="Arial"/>
        <w:sz w:val="18"/>
        <w:szCs w:val="18"/>
      </w:rPr>
      <w:t xml:space="preserve">	</w:t>
    </w:r>
    <w:r>
      <w:rPr>
        <w:rFonts w:ascii="Arial" w:cs="Arial" w:eastAsia="Arial" w:hAnsi="Arial"/>
        <w:i/>
        <w:iCs/>
        <w:color w:val="444444"/>
        <w:sz w:val="18"/>
        <w:szCs w:val="18"/>
      </w:rPr>
      <w:t xml:space="preserve">Planetary Hydrogeological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A2342"/>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07B8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0A234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2026-05-07T06:55:26.485Z</dcterms:created>
  <dcterms:modified xsi:type="dcterms:W3CDTF">2026-05-07T06:55:26.505Z</dcterms:modified>
</cp:coreProperties>
</file>

<file path=docProps/custom.xml><?xml version="1.0" encoding="utf-8"?>
<Properties xmlns="http://schemas.openxmlformats.org/officeDocument/2006/custom-properties" xmlns:vt="http://schemas.openxmlformats.org/officeDocument/2006/docPropsVTypes"/>
</file>