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Guía 1 — Fundamentos y Procesos de la Ingeniería de Software</w:t>
      </w:r>
    </w:p>
    <w:p>
      <w:pPr>
        <w:spacing w:after="300"/>
      </w:pPr>
      <w:r>
        <w:rPr>
          <w:i/>
          <w:iCs/>
          <w:color w:val="555555"/>
        </w:rPr>
        <w:t xml:space="preserve">Proyecto integrador: StockCentral (Boutique El Manantial) — Taller resuelto y FPI-01</w:t>
      </w:r>
    </w:p>
    <w:p>
      <w:pPr>
        <w:spacing w:after="150"/>
      </w:pPr>
      <w:r>
        <w:rPr>
          <w:b/>
          <w:bCs/>
        </w:rPr>
        <w:t xml:space="preserve">Proyecto base: </w:t>
      </w:r>
    </w:p>
    <w:p>
      <w:pPr>
        <w:spacing w:after="150"/>
      </w:pPr>
      <w:r>
        <w:t xml:space="preserve">StockCentral — Sistema de gestión de inventario y dashboard administrativo para Boutique El Manantial (tienda de ropa en Pamplona, Norte de Santander).</w:t>
      </w:r>
    </w:p>
    <w:p>
      <w:pPr>
        <w:spacing w:after="100"/>
      </w:pPr>
    </w:p>
    <w:p>
      <w:pPr>
        <w:pStyle w:val="Heading1"/>
        <w:spacing w:after="150" w:before="300"/>
      </w:pPr>
      <w:r>
        <w:t xml:space="preserve">Taller</w:t>
      </w:r>
    </w:p>
    <w:p>
      <w:pPr>
        <w:pStyle w:val="Heading2"/>
        <w:spacing w:after="120" w:before="250"/>
      </w:pPr>
      <w:r>
        <w:t xml:space="preserve">Ejercicio 1 — Crisis del Software (máx. 100 palabras)</w:t>
      </w:r>
    </w:p>
    <w:p>
      <w:pPr>
        <w:pBdr>
          <w:left w:val="single" w:color="888888" w:sz="12" w:space="8"/>
        </w:pBdr>
        <w:spacing w:after="150"/>
        <w:ind w:left="400"/>
      </w:pPr>
      <w:r>
        <w:rPr>
          <w:i/>
          <w:iCs/>
        </w:rPr>
        <w:t xml:space="preserve">La Crisis del Software surgió en los años 60, cuando el hardware permitió construir sistemas más grandes, pero el software se seguía haciendo de forma artesanal: sin método, sin documentación y sin planeación. Esto generó proyectos con sobrecostos, retrasos y sistemas imposibles de mantener. La Conferencia de la OTAN en 1968 formalizó el problema y propuso tratar el desarrollo de software como una disciplina de ingeniería —sistemática y cuantificable— en lugar de un arte intuitivo. Esa transición dio origen a la Ingeniería de Software como la conocemos hoy.</w:t>
      </w:r>
    </w:p>
    <w:p>
      <w:pPr>
        <w:pStyle w:val="Heading2"/>
        <w:spacing w:after="120" w:before="250"/>
      </w:pPr>
      <w:r>
        <w:t xml:space="preserve">Ejercicio 2 — Complejidad esencial vs. accidental + Ley de Brooks</w:t>
      </w:r>
    </w:p>
    <w:p>
      <w:pPr>
        <w:spacing w:after="150"/>
      </w:pPr>
      <w:r>
        <w:rPr>
          <w:b/>
          <w:bCs/>
        </w:rPr>
        <w:t xml:space="preserve">Complejidad esencial (en StockCentral): </w:t>
      </w:r>
    </w:p>
    <w:p>
      <w:pPr>
        <w:spacing w:after="150"/>
      </w:pPr>
      <w:r>
        <w:t xml:space="preserve">la lógica real de manejar el inventario —una venta debe descontar stock, un producto puede tener variantes, el stock no puede ser negativo. Esta complejidad no desaparece sin importar qué lenguaje o framework usemos, porque es inherente al problema del negocio.</w:t>
      </w:r>
    </w:p>
    <w:p>
      <w:pPr>
        <w:spacing w:after="150"/>
      </w:pPr>
      <w:r>
        <w:rPr>
          <w:b/>
          <w:bCs/>
        </w:rPr>
        <w:t xml:space="preserve">Complejidad accidental (en StockCentral): </w:t>
      </w:r>
    </w:p>
    <w:p>
      <w:pPr>
        <w:spacing w:after="150"/>
      </w:pPr>
      <w:r>
        <w:t xml:space="preserve">configurar manualmente el servidor cada vez que hacemos un cambio en vez de automatizarlo, o usar una librería mal documentada que obliga a trabajo extra solo para entenderla. Esa fricción no viene del problema del negocio, viene de decisiones técnicas evitables.</w:t>
      </w:r>
    </w:p>
    <w:p>
      <w:pPr>
        <w:spacing w:after="150"/>
      </w:pPr>
      <w:r>
        <w:rPr>
          <w:b/>
          <w:bCs/>
        </w:rPr>
        <w:t xml:space="preserve">Ley de Brooks aplicada: </w:t>
      </w:r>
    </w:p>
    <w:p>
      <w:pPr>
        <w:spacing w:after="150"/>
      </w:pPr>
      <w:r>
        <w:t xml:space="preserve">si a dos semanas de la entrega contratáramos tres desarrolladores nuevos para "acelerar", el equipo actual tendría que detenerse a explicarles el modelo de datos y el estado del proyecto. Ese tiempo de onboarding probablemente retrasaría más la entrega de lo que esas tres personas podrían aportar en dos semanas.</w:t>
      </w:r>
    </w:p>
    <w:p>
      <w:pPr>
        <w:pStyle w:val="Heading2"/>
        <w:spacing w:after="120" w:before="250"/>
      </w:pPr>
      <w:r>
        <w:t xml:space="preserve">Ejercicio 3 — Falla histórica real (distinta a Denver)</w:t>
      </w:r>
    </w:p>
    <w:p>
      <w:pPr>
        <w:spacing w:after="150"/>
      </w:pPr>
      <w:r>
        <w:t xml:space="preserve">Caso elegido: Therac-25 (máquina de radioterapia, 1985–1987). Un error de condición de carrera en el software de control permitió que, bajo una secuencia específica de teclas ingresada rápidamente por el operador, la máquina aplicara una dosis de radiación varios cientos de veces superior a la prevista, sin ninguna alarma de hardware que lo impidiera (el fabricante había retirado los interbloqueos físicos de mecanismos anteriores). Se atribuyen al menos 6 casos de sobreexposición grave y varias muertes. Causa raíz: (1) condición de carrera no probada, (2) ausencia de salvaguardas de hardware independientes del software, (3) mensajes de error genéricos que no alertaban de la gravedad real del fallo.</w:t>
      </w:r>
    </w:p>
    <w:p>
      <w:pPr>
        <w:spacing w:after="150"/>
      </w:pPr>
      <w:r>
        <w:rPr>
          <w:i/>
          <w:iCs/>
        </w:rPr>
        <w:t xml:space="preserve">Fuente: Leveson, N. &amp; Turner, C. (1993). An Investigation of the Therac-25 Accidents. IEEE Computer.</w:t>
      </w:r>
    </w:p>
    <w:p>
      <w:pPr>
        <w:pStyle w:val="Heading2"/>
        <w:spacing w:after="120" w:before="250"/>
      </w:pPr>
      <w:r>
        <w:t xml:space="preserve">Ejercicio 4 — Consulta a una IA generativa</w:t>
      </w:r>
    </w:p>
    <w:p>
      <w:pPr>
        <w:spacing w:after="150"/>
      </w:pPr>
      <w:r>
        <w:t xml:space="preserve">Este ejercicio debe documentarse con el prompt y la respuesta reales que obtengas. Prompt sugerido: "Explícame la causa técnica del accidente del Therac-25 y propón en pseudocódigo cómo se debería validar la entrada del operador para evitar la condición de carrera." Guarda el prompt y la respuesta completos, sin editarlos, antes de auditarlos en el Ejercicio 5.</w:t>
      </w:r>
    </w:p>
    <w:p>
      <w:pPr>
        <w:pStyle w:val="Heading2"/>
        <w:spacing w:after="120" w:before="250"/>
      </w:pPr>
      <w:r>
        <w:t xml:space="preserve">Ejercicio 5 — Matriz de auditoría a la IA (plantilla)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D9E2F3" w:val="clear"/>
            <w:tcMar>
              <w:top w:type="dxa" w:w="60"/>
              <w:left w:type="dxa" w:w="100"/>
              <w:bottom w:type="dxa" w:w="60"/>
              <w:right w:type="dxa" w:w="100"/>
            </w:tcMar>
          </w:tcPr>
          <w:p>
            <w:r>
              <w:rPr>
                <w:b/>
                <w:bCs/>
                <w:sz w:val="20"/>
                <w:szCs w:val="20"/>
              </w:rPr>
              <w:t xml:space="preserve">Criterio</w:t>
            </w:r>
          </w:p>
        </w:tc>
        <w:tc>
          <w:tcPr>
            <w:tcW w:type="dxa" w:w="6160"/>
            <w:shd w:fill="D9E2F3" w:val="clear"/>
            <w:tcMar>
              <w:top w:type="dxa" w:w="60"/>
              <w:left w:type="dxa" w:w="100"/>
              <w:bottom w:type="dxa" w:w="60"/>
              <w:right w:type="dxa" w:w="100"/>
            </w:tcMar>
          </w:tcPr>
          <w:p>
            <w:r>
              <w:rPr>
                <w:b/>
                <w:bCs/>
                <w:sz w:val="20"/>
                <w:szCs w:val="20"/>
              </w:rPr>
              <w:t xml:space="preserve">Tu evaluación</w:t>
            </w:r>
          </w:p>
        </w:tc>
      </w:tr>
      <w:tr>
        <w:tc>
          <w:tcPr>
            <w:tcW w:type="dxa" w:w="3200"/>
            <w:tcMar>
              <w:top w:type="dxa" w:w="60"/>
              <w:left w:type="dxa" w:w="100"/>
              <w:bottom w:type="dxa" w:w="60"/>
              <w:right w:type="dxa" w:w="100"/>
            </w:tcMar>
          </w:tcPr>
          <w:p>
            <w:r>
              <w:rPr>
                <w:b w:val="false"/>
                <w:bCs w:val="false"/>
                <w:sz w:val="20"/>
                <w:szCs w:val="20"/>
              </w:rPr>
              <w:t xml:space="preserve">¿Alucinó, omitió o erró algún dato real?</w:t>
            </w:r>
          </w:p>
        </w:tc>
        <w:tc>
          <w:tcPr>
            <w:tcW w:type="dxa" w:w="6160"/>
            <w:tcMar>
              <w:top w:type="dxa" w:w="60"/>
              <w:left w:type="dxa" w:w="100"/>
              <w:bottom w:type="dxa" w:w="60"/>
              <w:right w:type="dxa" w:w="100"/>
            </w:tcMar>
          </w:tcPr>
          <w:p>
            <w:r>
              <w:rPr>
                <w:b w:val="false"/>
                <w:bCs w:val="false"/>
                <w:sz w:val="20"/>
                <w:szCs w:val="20"/>
              </w:rPr>
              <w:t xml:space="preserve">Compara fecha, número de casos y causa técnica contra Leveson &amp; Turner. La IA suele minimizar el número de incidentes.</w:t>
            </w:r>
          </w:p>
        </w:tc>
      </w:tr>
      <w:tr>
        <w:tc>
          <w:tcPr>
            <w:tcW w:type="dxa" w:w="3200"/>
            <w:tcMar>
              <w:top w:type="dxa" w:w="60"/>
              <w:left w:type="dxa" w:w="100"/>
              <w:bottom w:type="dxa" w:w="60"/>
              <w:right w:type="dxa" w:w="100"/>
            </w:tcMar>
          </w:tcPr>
          <w:p>
            <w:r>
              <w:rPr>
                <w:b w:val="false"/>
                <w:bCs w:val="false"/>
                <w:sz w:val="20"/>
                <w:szCs w:val="20"/>
              </w:rPr>
              <w:t xml:space="preserve">¿El código propuesto es robusto ante casos límite?</w:t>
            </w:r>
          </w:p>
        </w:tc>
        <w:tc>
          <w:tcPr>
            <w:tcW w:type="dxa" w:w="6160"/>
            <w:tcMar>
              <w:top w:type="dxa" w:w="60"/>
              <w:left w:type="dxa" w:w="100"/>
              <w:bottom w:type="dxa" w:w="60"/>
              <w:right w:type="dxa" w:w="100"/>
            </w:tcMar>
          </w:tcPr>
          <w:p>
            <w:r>
              <w:rPr>
                <w:b w:val="false"/>
                <w:bCs w:val="false"/>
                <w:sz w:val="20"/>
                <w:szCs w:val="20"/>
              </w:rPr>
              <w:t xml:space="preserve">Revisa si el pseudocódigo realmente previene la condición de carrera (bloqueo de estado) o solo agrega validación superficial.</w:t>
            </w:r>
          </w:p>
        </w:tc>
      </w:tr>
      <w:tr>
        <w:tc>
          <w:tcPr>
            <w:tcW w:type="dxa" w:w="3200"/>
            <w:tcMar>
              <w:top w:type="dxa" w:w="60"/>
              <w:left w:type="dxa" w:w="100"/>
              <w:bottom w:type="dxa" w:w="60"/>
              <w:right w:type="dxa" w:w="100"/>
            </w:tcMar>
          </w:tcPr>
          <w:p>
            <w:r>
              <w:rPr>
                <w:b w:val="false"/>
                <w:bCs w:val="false"/>
                <w:sz w:val="20"/>
                <w:szCs w:val="20"/>
              </w:rPr>
              <w:t xml:space="preserve">¿Qué licencias o dependencias sugirió?</w:t>
            </w:r>
          </w:p>
        </w:tc>
        <w:tc>
          <w:tcPr>
            <w:tcW w:type="dxa" w:w="6160"/>
            <w:tcMar>
              <w:top w:type="dxa" w:w="60"/>
              <w:left w:type="dxa" w:w="100"/>
              <w:bottom w:type="dxa" w:w="60"/>
              <w:right w:type="dxa" w:w="100"/>
            </w:tcMar>
          </w:tcPr>
          <w:p>
            <w:r>
              <w:rPr>
                <w:b w:val="false"/>
                <w:bCs w:val="false"/>
                <w:sz w:val="20"/>
                <w:szCs w:val="20"/>
              </w:rPr>
              <w:t xml:space="preserve">Verifica que cualquier librería sugerida tenga licencia compatible con el proyecto (evitar GPL si no aplica).</w:t>
            </w:r>
          </w:p>
        </w:tc>
      </w:tr>
      <w:tr>
        <w:tc>
          <w:tcPr>
            <w:tcW w:type="dxa" w:w="3200"/>
            <w:tcMar>
              <w:top w:type="dxa" w:w="60"/>
              <w:left w:type="dxa" w:w="100"/>
              <w:bottom w:type="dxa" w:w="60"/>
              <w:right w:type="dxa" w:w="100"/>
            </w:tcMar>
          </w:tcPr>
          <w:p>
            <w:r>
              <w:rPr>
                <w:b w:val="false"/>
                <w:bCs w:val="false"/>
                <w:sz w:val="20"/>
                <w:szCs w:val="20"/>
              </w:rPr>
              <w:t xml:space="preserve">¿Qué medidas de privacidad aplicaste?</w:t>
            </w:r>
          </w:p>
        </w:tc>
        <w:tc>
          <w:tcPr>
            <w:tcW w:type="dxa" w:w="6160"/>
            <w:tcMar>
              <w:top w:type="dxa" w:w="60"/>
              <w:left w:type="dxa" w:w="100"/>
              <w:bottom w:type="dxa" w:w="60"/>
              <w:right w:type="dxa" w:w="100"/>
            </w:tcMar>
          </w:tcPr>
          <w:p>
            <w:r>
              <w:rPr>
                <w:b w:val="false"/>
                <w:bCs w:val="false"/>
                <w:sz w:val="20"/>
                <w:szCs w:val="20"/>
              </w:rPr>
              <w:t xml:space="preserve">Ninguna información sensible fue necesaria (caso histórico público); no hubo riesgo de privacidad.</w:t>
            </w:r>
          </w:p>
        </w:tc>
      </w:tr>
    </w:tbl>
    <w:p>
      <w:pPr>
        <w:spacing w:after="100"/>
      </w:pPr>
    </w:p>
    <w:p>
      <w:pPr>
        <w:pStyle w:val="Heading2"/>
        <w:spacing w:after="120" w:before="250"/>
      </w:pPr>
      <w:r>
        <w:t xml:space="preserve">Ejercicio 6 — Código corregido y validado</w:t>
      </w:r>
    </w:p>
    <w:p>
      <w:pPr>
        <w:spacing w:after="150"/>
      </w:pPr>
      <w:r>
        <w:t xml:space="preserve">Validación defensiva contra condición de carrera en entrada rápida del operador (inspirada en la lección del Therac-25): se usa un bloqueo explícito (Lock) para evitar que dos comandos se procesen simultáneamente —la causa raíz real del caso— y se valida el rango físico real de la dosis, sin delegar la seguridad únicamente al software de interfaz.</w:t>
      </w:r>
    </w:p>
    <w:p>
      <w:pPr>
        <w:pStyle w:val="Heading1"/>
        <w:spacing w:after="150" w:before="300"/>
      </w:pPr>
      <w:r>
        <w:t xml:space="preserve">Foro de reflexión (borrador, 250–300 palabras)</w:t>
      </w:r>
    </w:p>
    <w:p>
      <w:pPr>
        <w:pBdr>
          <w:left w:val="single" w:color="888888" w:sz="12" w:space="8"/>
        </w:pBdr>
        <w:spacing w:after="150"/>
        <w:ind w:left="400"/>
      </w:pPr>
      <w:r>
        <w:rPr>
          <w:i/>
          <w:iCs/>
        </w:rPr>
        <w:t xml:space="preserve">Que un programa "compile" solo confirma que el código es sintácticamente válido — no dice nada sobre si su lógica es correcta, maneja casos límite, es seguro o resuelve realmente el problema del negocio. El caso del Therac-25 es el ejemplo más crudo: el software compilaba y funcionaba en la gran mayoría de los casos, pero fallaba catastróficamente bajo una secuencia específica de entradas que nadie probó a fondo, con consecuencias fatales.</w:t>
      </w:r>
    </w:p>
    <w:p>
      <w:pPr>
        <w:pBdr>
          <w:left w:val="single" w:color="888888" w:sz="12" w:space="8"/>
        </w:pBdr>
        <w:spacing w:after="150"/>
        <w:ind w:left="400"/>
      </w:pPr>
      <w:r>
        <w:rPr>
          <w:i/>
          <w:iCs/>
        </w:rPr>
        <w:t xml:space="preserve">Un proyecto que confía ciegamente en código sugerido por una IA sin auditoría humana corre ese mismo riesgo, multiplicado. En StockCentral, si le pidiéramos a una IA una función para descontar stock tras una venta y la aceptáramos sin revisar, podríamos terminar con una función que no valida ventas simultáneas, generando stock negativo — un error silencioso hasta que ya causó pérdidas reales.</w:t>
      </w:r>
    </w:p>
    <w:p>
      <w:pPr>
        <w:pBdr>
          <w:left w:val="single" w:color="888888" w:sz="12" w:space="8"/>
        </w:pBdr>
        <w:spacing w:after="150"/>
        <w:ind w:left="400"/>
      </w:pPr>
      <w:r>
        <w:rPr>
          <w:i/>
          <w:iCs/>
        </w:rPr>
        <w:t xml:space="preserve">Por eso la regla de oro "la IA propone, el ingeniero verifica y el equipo decide" no es una formalidad: es la diferencia entre construir software con rigor de ingeniería y construir software que "parece funcionar" hasta que falla en el peor momento posible.</w:t>
      </w:r>
    </w:p>
    <w:p>
      <w:pPr>
        <w:spacing w:after="100"/>
      </w:pPr>
    </w:p>
    <w:p>
      <w:pPr>
        <w:pStyle w:val="Heading1"/>
        <w:spacing w:after="150" w:before="300"/>
      </w:pPr>
      <w:r>
        <w:t xml:space="preserve">Cuestionario — respuestas correctas</w:t>
      </w:r>
    </w:p>
    <w:p>
      <w:pPr>
        <w:spacing w:after="150"/>
      </w:pPr>
      <w:r>
        <w:t xml:space="preserve">1. B  ·  2. C  ·  3. B  ·  4. B  ·  5. A  ·  6. B  ·  7. B</w:t>
      </w:r>
    </w:p>
    <w:p>
      <w:pPr>
        <w:pStyle w:val="Heading1"/>
        <w:spacing w:after="150" w:before="300"/>
      </w:pPr>
      <w:r>
        <w:t xml:space="preserve">FPI-01 — Ficha diligenciada</w:t>
      </w:r>
    </w:p>
    <w:p>
      <w:pPr>
        <w:pStyle w:val="Heading2"/>
        <w:spacing w:after="120" w:before="250"/>
      </w:pPr>
      <w:r>
        <w:t xml:space="preserve">1. Título preliminar del MVP</w:t>
      </w:r>
    </w:p>
    <w:p>
      <w:pPr>
        <w:spacing w:after="150"/>
      </w:pPr>
      <w:r>
        <w:t xml:space="preserve">StockCentral: Sistema de gestión de inventario y dashboard administrativo para pequeñas tiendas de ropa en Pamplona.</w:t>
      </w:r>
    </w:p>
    <w:p>
      <w:pPr>
        <w:pStyle w:val="Heading2"/>
        <w:spacing w:after="120" w:before="250"/>
      </w:pPr>
      <w:r>
        <w:t xml:space="preserve">2. Formulación y delimitación del problema (150+ palabras)</w:t>
      </w:r>
    </w:p>
    <w:p>
      <w:pPr>
        <w:pBdr>
          <w:left w:val="single" w:color="888888" w:sz="12" w:space="8"/>
        </w:pBdr>
        <w:spacing w:after="150"/>
        <w:ind w:left="400"/>
      </w:pPr>
      <w:r>
        <w:rPr>
          <w:i/>
          <w:iCs/>
        </w:rPr>
        <w:t xml:space="preserve">Boutique El Manantial es una tienda de ropa ubicada en el centro de Pamplona que gestiona su inventario y ventas de forma manual: registra entradas de mercancía en un cuaderno físico y lleva un control aproximado de ventas en hojas de cálculo sueltas que no se actualizan en tiempo real. Esto genera problemas concretos: la dueña no sabe con certeza cuánto stock real tiene hasta hacer un conteo físico, lo que ha llevado a vender productos agotados; no existe un registro histórico confiable de qué productos se venden más; y calcular las ventas totales del mes requiere sumar manualmente varias hojas, un proceso lento y propenso a errores. El problema real que resolverá el MVP no es "hacer una tienda online", sino darle a la dueña y a su empleado una herramienta centralizada donde registrar productos, ver el inventario en tiempo real, y consultar un panel con las métricas clave del negocio sin depender de cálculos manuales.</w:t>
      </w:r>
    </w:p>
    <w:p>
      <w:pPr>
        <w:pStyle w:val="Heading2"/>
        <w:spacing w:after="120" w:before="250"/>
      </w:pPr>
      <w:r>
        <w:t xml:space="preserve">3. Organización beneficiaria</w:t>
      </w:r>
    </w:p>
    <w:p>
      <w:pPr>
        <w:spacing w:after="150"/>
      </w:pPr>
      <w:r>
        <w:t xml:space="preserve">Boutique El Manantial — tienda de ropa con local físico en el centro de Pamplona, Norte de Santander. Personal: 1 dueña (administradora) + 1 empleado de ventas. Sin sistema de gestión digital actual.</w:t>
      </w:r>
    </w:p>
    <w:p>
      <w:pPr>
        <w:pStyle w:val="Heading2"/>
        <w:spacing w:after="120" w:before="250"/>
      </w:pPr>
      <w:r>
        <w:t xml:space="preserve">4. Mapa preliminar de stakeholders (mínimo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500"/>
        <w:gridCol w:w="2360"/>
      </w:tblGrid>
      <w:tr>
        <w:tc>
          <w:tcPr>
            <w:tcW w:type="dxa" w:w="2100"/>
            <w:shd w:fill="D9E2F3" w:val="clear"/>
            <w:tcMar>
              <w:top w:type="dxa" w:w="60"/>
              <w:left w:type="dxa" w:w="100"/>
              <w:bottom w:type="dxa" w:w="60"/>
              <w:right w:type="dxa" w:w="100"/>
            </w:tcMar>
          </w:tcPr>
          <w:p>
            <w:r>
              <w:rPr>
                <w:b/>
                <w:bCs/>
                <w:sz w:val="20"/>
                <w:szCs w:val="20"/>
              </w:rPr>
              <w:t xml:space="preserve">Stakeholder</w:t>
            </w:r>
          </w:p>
        </w:tc>
        <w:tc>
          <w:tcPr>
            <w:tcW w:type="dxa" w:w="2400"/>
            <w:shd w:fill="D9E2F3" w:val="clear"/>
            <w:tcMar>
              <w:top w:type="dxa" w:w="60"/>
              <w:left w:type="dxa" w:w="100"/>
              <w:bottom w:type="dxa" w:w="60"/>
              <w:right w:type="dxa" w:w="100"/>
            </w:tcMar>
          </w:tcPr>
          <w:p>
            <w:r>
              <w:rPr>
                <w:b/>
                <w:bCs/>
                <w:sz w:val="20"/>
                <w:szCs w:val="20"/>
              </w:rPr>
              <w:t xml:space="preserve">Interés</w:t>
            </w:r>
          </w:p>
        </w:tc>
        <w:tc>
          <w:tcPr>
            <w:tcW w:type="dxa" w:w="2500"/>
            <w:shd w:fill="D9E2F3" w:val="clear"/>
            <w:tcMar>
              <w:top w:type="dxa" w:w="60"/>
              <w:left w:type="dxa" w:w="100"/>
              <w:bottom w:type="dxa" w:w="60"/>
              <w:right w:type="dxa" w:w="100"/>
            </w:tcMar>
          </w:tcPr>
          <w:p>
            <w:r>
              <w:rPr>
                <w:b/>
                <w:bCs/>
                <w:sz w:val="20"/>
                <w:szCs w:val="20"/>
              </w:rPr>
              <w:t xml:space="preserve">Restricciones</w:t>
            </w:r>
          </w:p>
        </w:tc>
        <w:tc>
          <w:tcPr>
            <w:tcW w:type="dxa" w:w="2360"/>
            <w:shd w:fill="D9E2F3" w:val="clear"/>
            <w:tcMar>
              <w:top w:type="dxa" w:w="60"/>
              <w:left w:type="dxa" w:w="100"/>
              <w:bottom w:type="dxa" w:w="60"/>
              <w:right w:type="dxa" w:w="100"/>
            </w:tcMar>
          </w:tcPr>
          <w:p>
            <w:r>
              <w:rPr>
                <w:b/>
                <w:bCs/>
                <w:sz w:val="20"/>
                <w:szCs w:val="20"/>
              </w:rPr>
              <w:t xml:space="preserve">Aporte al sistema</w:t>
            </w:r>
          </w:p>
        </w:tc>
      </w:tr>
      <w:tr>
        <w:tc>
          <w:tcPr>
            <w:tcW w:type="dxa" w:w="2100"/>
            <w:tcMar>
              <w:top w:type="dxa" w:w="60"/>
              <w:left w:type="dxa" w:w="100"/>
              <w:bottom w:type="dxa" w:w="60"/>
              <w:right w:type="dxa" w:w="100"/>
            </w:tcMar>
          </w:tcPr>
          <w:p>
            <w:r>
              <w:rPr>
                <w:b w:val="false"/>
                <w:bCs w:val="false"/>
                <w:sz w:val="20"/>
                <w:szCs w:val="20"/>
              </w:rPr>
              <w:t xml:space="preserve">Dueña de la tienda</w:t>
            </w:r>
          </w:p>
        </w:tc>
        <w:tc>
          <w:tcPr>
            <w:tcW w:type="dxa" w:w="2400"/>
            <w:tcMar>
              <w:top w:type="dxa" w:w="60"/>
              <w:left w:type="dxa" w:w="100"/>
              <w:bottom w:type="dxa" w:w="60"/>
              <w:right w:type="dxa" w:w="100"/>
            </w:tcMar>
          </w:tcPr>
          <w:p>
            <w:r>
              <w:rPr>
                <w:b w:val="false"/>
                <w:bCs w:val="false"/>
                <w:sz w:val="20"/>
                <w:szCs w:val="20"/>
              </w:rPr>
              <w:t xml:space="preserve">Conocer ventas y stock en tiempo real y decidir reposición sin errores manuales</w:t>
            </w:r>
          </w:p>
        </w:tc>
        <w:tc>
          <w:tcPr>
            <w:tcW w:type="dxa" w:w="2500"/>
            <w:tcMar>
              <w:top w:type="dxa" w:w="60"/>
              <w:left w:type="dxa" w:w="100"/>
              <w:bottom w:type="dxa" w:w="60"/>
              <w:right w:type="dxa" w:w="100"/>
            </w:tcMar>
          </w:tcPr>
          <w:p>
            <w:r>
              <w:rPr>
                <w:b w:val="false"/>
                <w:bCs w:val="false"/>
                <w:sz w:val="20"/>
                <w:szCs w:val="20"/>
              </w:rPr>
              <w:t xml:space="preserve">Presupuesto limitado; sin personal técnico propio; conectividad inestable</w:t>
            </w:r>
          </w:p>
        </w:tc>
        <w:tc>
          <w:tcPr>
            <w:tcW w:type="dxa" w:w="2360"/>
            <w:tcMar>
              <w:top w:type="dxa" w:w="60"/>
              <w:left w:type="dxa" w:w="100"/>
              <w:bottom w:type="dxa" w:w="60"/>
              <w:right w:type="dxa" w:w="100"/>
            </w:tcMar>
          </w:tcPr>
          <w:p>
            <w:r>
              <w:rPr>
                <w:b w:val="false"/>
                <w:bCs w:val="false"/>
                <w:sz w:val="20"/>
                <w:szCs w:val="20"/>
              </w:rPr>
              <w:t xml:space="preserve">Define reglas de negocio reales y valida el dashboard</w:t>
            </w:r>
          </w:p>
        </w:tc>
      </w:tr>
      <w:tr>
        <w:tc>
          <w:tcPr>
            <w:tcW w:type="dxa" w:w="2100"/>
            <w:tcMar>
              <w:top w:type="dxa" w:w="60"/>
              <w:left w:type="dxa" w:w="100"/>
              <w:bottom w:type="dxa" w:w="60"/>
              <w:right w:type="dxa" w:w="100"/>
            </w:tcMar>
          </w:tcPr>
          <w:p>
            <w:r>
              <w:rPr>
                <w:b w:val="false"/>
                <w:bCs w:val="false"/>
                <w:sz w:val="20"/>
                <w:szCs w:val="20"/>
              </w:rPr>
              <w:t xml:space="preserve">Empleado de ventas</w:t>
            </w:r>
          </w:p>
        </w:tc>
        <w:tc>
          <w:tcPr>
            <w:tcW w:type="dxa" w:w="2400"/>
            <w:tcMar>
              <w:top w:type="dxa" w:w="60"/>
              <w:left w:type="dxa" w:w="100"/>
              <w:bottom w:type="dxa" w:w="60"/>
              <w:right w:type="dxa" w:w="100"/>
            </w:tcMar>
          </w:tcPr>
          <w:p>
            <w:r>
              <w:rPr>
                <w:b w:val="false"/>
                <w:bCs w:val="false"/>
                <w:sz w:val="20"/>
                <w:szCs w:val="20"/>
              </w:rPr>
              <w:t xml:space="preserve">Registrar ventas rápido durante la atención al cliente</w:t>
            </w:r>
          </w:p>
        </w:tc>
        <w:tc>
          <w:tcPr>
            <w:tcW w:type="dxa" w:w="2500"/>
            <w:tcMar>
              <w:top w:type="dxa" w:w="60"/>
              <w:left w:type="dxa" w:w="100"/>
              <w:bottom w:type="dxa" w:w="60"/>
              <w:right w:type="dxa" w:w="100"/>
            </w:tcMar>
          </w:tcPr>
          <w:p>
            <w:r>
              <w:rPr>
                <w:b w:val="false"/>
                <w:bCs w:val="false"/>
                <w:sz w:val="20"/>
                <w:szCs w:val="20"/>
              </w:rPr>
              <w:t xml:space="preserve">Poca familiaridad con tecnología; necesita interfaz simple</w:t>
            </w:r>
          </w:p>
        </w:tc>
        <w:tc>
          <w:tcPr>
            <w:tcW w:type="dxa" w:w="2360"/>
            <w:tcMar>
              <w:top w:type="dxa" w:w="60"/>
              <w:left w:type="dxa" w:w="100"/>
              <w:bottom w:type="dxa" w:w="60"/>
              <w:right w:type="dxa" w:w="100"/>
            </w:tcMar>
          </w:tcPr>
          <w:p>
            <w:r>
              <w:rPr>
                <w:b w:val="false"/>
                <w:bCs w:val="false"/>
                <w:sz w:val="20"/>
                <w:szCs w:val="20"/>
              </w:rPr>
              <w:t xml:space="preserve">Retroalimenta la usabilidad del registro de ventas</w:t>
            </w:r>
          </w:p>
        </w:tc>
      </w:tr>
      <w:tr>
        <w:tc>
          <w:tcPr>
            <w:tcW w:type="dxa" w:w="2100"/>
            <w:tcMar>
              <w:top w:type="dxa" w:w="60"/>
              <w:left w:type="dxa" w:w="100"/>
              <w:bottom w:type="dxa" w:w="60"/>
              <w:right w:type="dxa" w:w="100"/>
            </w:tcMar>
          </w:tcPr>
          <w:p>
            <w:r>
              <w:rPr>
                <w:b w:val="false"/>
                <w:bCs w:val="false"/>
                <w:sz w:val="20"/>
                <w:szCs w:val="20"/>
              </w:rPr>
              <w:t xml:space="preserve">Cliente final</w:t>
            </w:r>
          </w:p>
        </w:tc>
        <w:tc>
          <w:tcPr>
            <w:tcW w:type="dxa" w:w="2400"/>
            <w:tcMar>
              <w:top w:type="dxa" w:w="60"/>
              <w:left w:type="dxa" w:w="100"/>
              <w:bottom w:type="dxa" w:w="60"/>
              <w:right w:type="dxa" w:w="100"/>
            </w:tcMar>
          </w:tcPr>
          <w:p>
            <w:r>
              <w:rPr>
                <w:b w:val="false"/>
                <w:bCs w:val="false"/>
                <w:sz w:val="20"/>
                <w:szCs w:val="20"/>
              </w:rPr>
              <w:t xml:space="preserve">Recibir atención rápida y que el producto exista realmente en stock</w:t>
            </w:r>
          </w:p>
        </w:tc>
        <w:tc>
          <w:tcPr>
            <w:tcW w:type="dxa" w:w="2500"/>
            <w:tcMar>
              <w:top w:type="dxa" w:w="60"/>
              <w:left w:type="dxa" w:w="100"/>
              <w:bottom w:type="dxa" w:w="60"/>
              <w:right w:type="dxa" w:w="100"/>
            </w:tcMar>
          </w:tcPr>
          <w:p>
            <w:r>
              <w:rPr>
                <w:b w:val="false"/>
                <w:bCs w:val="false"/>
                <w:sz w:val="20"/>
                <w:szCs w:val="20"/>
              </w:rPr>
              <w:t xml:space="preserve">No interactúa directamente con el sistema en este MVP</w:t>
            </w:r>
          </w:p>
        </w:tc>
        <w:tc>
          <w:tcPr>
            <w:tcW w:type="dxa" w:w="2360"/>
            <w:tcMar>
              <w:top w:type="dxa" w:w="60"/>
              <w:left w:type="dxa" w:w="100"/>
              <w:bottom w:type="dxa" w:w="60"/>
              <w:right w:type="dxa" w:w="100"/>
            </w:tcMar>
          </w:tcPr>
          <w:p>
            <w:r>
              <w:rPr>
                <w:b w:val="false"/>
                <w:bCs w:val="false"/>
                <w:sz w:val="20"/>
                <w:szCs w:val="20"/>
              </w:rPr>
              <w:t xml:space="preserve">Su experiencia valida indirectamente el sistema</w:t>
            </w:r>
          </w:p>
        </w:tc>
      </w:tr>
    </w:tbl>
    <w:p>
      <w:pPr>
        <w:spacing w:after="100"/>
      </w:pPr>
    </w:p>
    <w:p>
      <w:pPr>
        <w:pStyle w:val="Heading2"/>
        <w:spacing w:after="120" w:before="250"/>
      </w:pPr>
      <w:r>
        <w:t xml:space="preserve">5. Acuerdo ético de uso de IA del equipo (100+ palabras)</w:t>
      </w:r>
    </w:p>
    <w:p>
      <w:pPr>
        <w:pBdr>
          <w:left w:val="single" w:color="888888" w:sz="12" w:space="8"/>
        </w:pBdr>
        <w:spacing w:after="150"/>
        <w:ind w:left="400"/>
      </w:pPr>
      <w:r>
        <w:rPr>
          <w:i/>
          <w:iCs/>
        </w:rPr>
        <w:t xml:space="preserve">Como equipo, usaremos IA generativa como apoyo para acelerar tareas puntuales, pero nunca copiaremos y pegaremos una respuesta sin comprenderla completamente primero. Todo código sugerido por IA será revisado línea por línea antes de integrarse, verificando que no introduzca vulnerabilidades evidentes, que maneje casos límite razonables, y que cualquier librería sugerida tenga una licencia compatible con nuestro proyecto. No ingresaremos en los prompts datos sensibles reales de la organización beneficiaria sin anonimizar. Asumimos como equipo la responsabilidad humana final sobre cada entregable.</w:t>
      </w:r>
    </w:p>
    <w:p>
      <w:pPr>
        <w:pStyle w:val="Heading2"/>
        <w:spacing w:after="120" w:before="250"/>
      </w:pPr>
      <w:r>
        <w:t xml:space="preserve">C. Reflexión y trazabilidad</w:t>
      </w:r>
    </w:p>
    <w:p>
      <w:pPr>
        <w:spacing w:after="150"/>
      </w:pPr>
      <w:r>
        <w:rPr>
          <w:b/>
          <w:bCs/>
        </w:rPr>
        <w:t xml:space="preserve">¿Qué aprendimos? </w:t>
      </w:r>
    </w:p>
    <w:p>
      <w:pPr>
        <w:spacing w:after="150"/>
      </w:pPr>
      <w:r>
        <w:t xml:space="preserve">Que "programar" y "hacer ingeniería de software" no son lo mismo: la ingeniería exige distinguir la complejidad esencial (las reglas reales del inventario) de la complejidad accidental (decisiones técnicas evitables). También que usar IA generativa no exime de auditar cada respuesta con criterio profesional.</w:t>
      </w:r>
    </w:p>
    <w:p>
      <w:pPr>
        <w:spacing w:after="150"/>
      </w:pPr>
      <w:r>
        <w:rPr>
          <w:b/>
          <w:bCs/>
        </w:rPr>
        <w:t xml:space="preserve">¿Cómo se aplica al proyecto? </w:t>
      </w:r>
    </w:p>
    <w:p>
      <w:pPr>
        <w:spacing w:after="150"/>
      </w:pPr>
      <w:r>
        <w:t xml:space="preserve">Al delimitar el problema de Boutique El Manantial, evitamos construir "una tienda online completa" (complejidad accidental innecesaria) y nos enfocamos en la complejidad esencial real: inventario confiable y visibilidad de métricas.</w:t>
      </w:r>
    </w:p>
    <w:p>
      <w:pPr>
        <w:spacing w:after="150"/>
      </w:pPr>
      <w:r>
        <w:rPr>
          <w:b/>
          <w:bCs/>
        </w:rPr>
        <w:t xml:space="preserve">Próximo paso: </w:t>
      </w:r>
    </w:p>
    <w:p>
      <w:pPr>
        <w:spacing w:after="150"/>
      </w:pPr>
      <w:r>
        <w:t xml:space="preserve">confirmar con más detalle el contexto y ampliar el mapa de stakeholders en la FPI-02/FPI-04.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2026-09-29T23:06:15.924Z</dcterms:created>
  <dcterms:modified xsi:type="dcterms:W3CDTF">2026-09-29T23:06:15.940Z</dcterms:modified>
</cp:coreProperties>
</file>

<file path=docProps/custom.xml><?xml version="1.0" encoding="utf-8"?>
<Properties xmlns="http://schemas.openxmlformats.org/officeDocument/2006/custom-properties" xmlns:vt="http://schemas.openxmlformats.org/officeDocument/2006/docPropsVTypes"/>
</file>