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2 — Modelos de Proceso y Ciclos de Vida del Software</w:t>
      </w:r>
    </w:p>
    <w:p>
      <w:pPr>
        <w:spacing w:after="300"/>
      </w:pPr>
      <w:r>
        <w:rPr>
          <w:i/>
          <w:iCs/>
          <w:color w:val="555555"/>
        </w:rPr>
        <w:t xml:space="preserve">Proyecto integrador: StockCentral (Boutique El Manantial) — Taller resuelto y FPI-02</w:t>
      </w:r>
    </w:p>
    <w:p>
      <w:pPr>
        <w:pStyle w:val="Heading1"/>
        <w:spacing w:after="150" w:before="300"/>
      </w:pPr>
      <w:r>
        <w:t xml:space="preserve">Taller</w:t>
      </w:r>
    </w:p>
    <w:p>
      <w:pPr>
        <w:pStyle w:val="Heading2"/>
        <w:spacing w:after="120" w:before="250"/>
      </w:pPr>
      <w:r>
        <w:t xml:space="preserve">Ejercicio 1 — Predictivo vs. adaptativo (máx. 100 palabras)</w:t>
      </w:r>
    </w:p>
    <w:p>
      <w:pPr>
        <w:pBdr>
          <w:left w:val="single" w:color="888888" w:sz="12" w:space="8"/>
        </w:pBdr>
        <w:spacing w:after="150"/>
        <w:ind w:left="400"/>
      </w:pPr>
      <w:r>
        <w:rPr>
          <w:i/>
          <w:iCs/>
        </w:rPr>
        <w:t xml:space="preserve">Un modelo predictivo (Cascada) asume que los requisitos están completamente definidos desde el inicio y planea todo el proyecto por fases secuenciales fijas: una vez cerrada una fase, no se vuelve atrás sin un costo alto. Un modelo adaptativo (Ágil) asume lo contrario: que los requisitos van a cambiar, y la mejor forma de manejar esa incertidumbre es entregar valor en ciclos cortos, recibir retroalimentación constante y ajustar el rumbo sobre la marcha. La diferencia central es la tolerancia al cambio: Cascada la minimiza planeando todo antes; Ágil la abraza como parte normal del proceso.</w:t>
      </w:r>
    </w:p>
    <w:p>
      <w:pPr>
        <w:pStyle w:val="Heading2"/>
        <w:spacing w:after="120" w:before="250"/>
      </w:pPr>
      <w:r>
        <w:t xml:space="preserve">Ejercicio 2 — Tres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shd w:fill="D9E2F3" w:val="clear"/>
            <w:tcMar>
              <w:top w:type="dxa" w:w="60"/>
              <w:left w:type="dxa" w:w="100"/>
              <w:bottom w:type="dxa" w:w="60"/>
              <w:right w:type="dxa" w:w="100"/>
            </w:tcMar>
          </w:tcPr>
          <w:p>
            <w:r>
              <w:rPr>
                <w:b/>
                <w:bCs/>
                <w:sz w:val="20"/>
                <w:szCs w:val="20"/>
              </w:rPr>
              <w:t xml:space="preserve">Escenario</w:t>
            </w:r>
          </w:p>
        </w:tc>
        <w:tc>
          <w:tcPr>
            <w:tcW w:type="dxa" w:w="1600"/>
            <w:shd w:fill="D9E2F3" w:val="clear"/>
            <w:tcMar>
              <w:top w:type="dxa" w:w="60"/>
              <w:left w:type="dxa" w:w="100"/>
              <w:bottom w:type="dxa" w:w="60"/>
              <w:right w:type="dxa" w:w="100"/>
            </w:tcMar>
          </w:tcPr>
          <w:p>
            <w:r>
              <w:rPr>
                <w:b/>
                <w:bCs/>
                <w:sz w:val="20"/>
                <w:szCs w:val="20"/>
              </w:rPr>
              <w:t xml:space="preserve">Modelo</w:t>
            </w:r>
          </w:p>
        </w:tc>
        <w:tc>
          <w:tcPr>
            <w:tcW w:type="dxa" w:w="4560"/>
            <w:shd w:fill="D9E2F3" w:val="clear"/>
            <w:tcMar>
              <w:top w:type="dxa" w:w="60"/>
              <w:left w:type="dxa" w:w="100"/>
              <w:bottom w:type="dxa" w:w="60"/>
              <w:right w:type="dxa" w:w="100"/>
            </w:tcMar>
          </w:tcPr>
          <w:p>
            <w:r>
              <w:rPr>
                <w:b/>
                <w:bCs/>
                <w:sz w:val="20"/>
                <w:szCs w:val="20"/>
              </w:rPr>
              <w:t xml:space="preserve">Justificación</w:t>
            </w:r>
          </w:p>
        </w:tc>
      </w:tr>
      <w:tr>
        <w:tc>
          <w:tcPr>
            <w:tcW w:type="dxa" w:w="3200"/>
            <w:tcMar>
              <w:top w:type="dxa" w:w="60"/>
              <w:left w:type="dxa" w:w="100"/>
              <w:bottom w:type="dxa" w:w="60"/>
              <w:right w:type="dxa" w:w="100"/>
            </w:tcMar>
          </w:tcPr>
          <w:p>
            <w:r>
              <w:rPr>
                <w:b w:val="false"/>
                <w:bCs w:val="false"/>
                <w:sz w:val="20"/>
                <w:szCs w:val="20"/>
              </w:rPr>
              <w:t xml:space="preserve">(a) Control de un puente de aduanas</w:t>
            </w:r>
          </w:p>
        </w:tc>
        <w:tc>
          <w:tcPr>
            <w:tcW w:type="dxa" w:w="1600"/>
            <w:tcMar>
              <w:top w:type="dxa" w:w="60"/>
              <w:left w:type="dxa" w:w="100"/>
              <w:bottom w:type="dxa" w:w="60"/>
              <w:right w:type="dxa" w:w="100"/>
            </w:tcMar>
          </w:tcPr>
          <w:p>
            <w:r>
              <w:rPr>
                <w:b w:val="false"/>
                <w:bCs w:val="false"/>
                <w:sz w:val="20"/>
                <w:szCs w:val="20"/>
              </w:rPr>
              <w:t xml:space="preserve">Cascada</w:t>
            </w:r>
          </w:p>
        </w:tc>
        <w:tc>
          <w:tcPr>
            <w:tcW w:type="dxa" w:w="4560"/>
            <w:tcMar>
              <w:top w:type="dxa" w:w="60"/>
              <w:left w:type="dxa" w:w="100"/>
              <w:bottom w:type="dxa" w:w="60"/>
              <w:right w:type="dxa" w:w="100"/>
            </w:tcMar>
          </w:tcPr>
          <w:p>
            <w:r>
              <w:rPr>
                <w:b w:val="false"/>
                <w:bCs w:val="false"/>
                <w:sz w:val="20"/>
                <w:szCs w:val="20"/>
              </w:rPr>
              <w:t xml:space="preserve">Requisitos regulatorios estables y criticidad extrema; sin margen para ajustar sobre la marcha</w:t>
            </w:r>
          </w:p>
        </w:tc>
      </w:tr>
      <w:tr>
        <w:tc>
          <w:tcPr>
            <w:tcW w:type="dxa" w:w="3200"/>
            <w:tcMar>
              <w:top w:type="dxa" w:w="60"/>
              <w:left w:type="dxa" w:w="100"/>
              <w:bottom w:type="dxa" w:w="60"/>
              <w:right w:type="dxa" w:w="100"/>
            </w:tcMar>
          </w:tcPr>
          <w:p>
            <w:r>
              <w:rPr>
                <w:b w:val="false"/>
                <w:bCs w:val="false"/>
                <w:sz w:val="20"/>
                <w:szCs w:val="20"/>
              </w:rPr>
              <w:t xml:space="preserve">(b) App de domicilios en ciudad intermedia</w:t>
            </w:r>
          </w:p>
        </w:tc>
        <w:tc>
          <w:tcPr>
            <w:tcW w:type="dxa" w:w="1600"/>
            <w:tcMar>
              <w:top w:type="dxa" w:w="60"/>
              <w:left w:type="dxa" w:w="100"/>
              <w:bottom w:type="dxa" w:w="60"/>
              <w:right w:type="dxa" w:w="100"/>
            </w:tcMar>
          </w:tcPr>
          <w:p>
            <w:r>
              <w:rPr>
                <w:b w:val="false"/>
                <w:bCs w:val="false"/>
                <w:sz w:val="20"/>
                <w:szCs w:val="20"/>
              </w:rPr>
              <w:t xml:space="preserve">Ágil</w:t>
            </w:r>
          </w:p>
        </w:tc>
        <w:tc>
          <w:tcPr>
            <w:tcW w:type="dxa" w:w="4560"/>
            <w:tcMar>
              <w:top w:type="dxa" w:w="60"/>
              <w:left w:type="dxa" w:w="100"/>
              <w:bottom w:type="dxa" w:w="60"/>
              <w:right w:type="dxa" w:w="100"/>
            </w:tcMar>
          </w:tcPr>
          <w:p>
            <w:r>
              <w:rPr>
                <w:b w:val="false"/>
                <w:bCs w:val="false"/>
                <w:sz w:val="20"/>
                <w:szCs w:val="20"/>
              </w:rPr>
              <w:t xml:space="preserve">Alta incertidumbre sobre qué features usarán los usuarios; se necesita validar rápido</w:t>
            </w:r>
          </w:p>
        </w:tc>
      </w:tr>
      <w:tr>
        <w:tc>
          <w:tcPr>
            <w:tcW w:type="dxa" w:w="3200"/>
            <w:tcMar>
              <w:top w:type="dxa" w:w="60"/>
              <w:left w:type="dxa" w:w="100"/>
              <w:bottom w:type="dxa" w:w="60"/>
              <w:right w:type="dxa" w:w="100"/>
            </w:tcMar>
          </w:tcPr>
          <w:p>
            <w:r>
              <w:rPr>
                <w:b w:val="false"/>
                <w:bCs w:val="false"/>
                <w:sz w:val="20"/>
                <w:szCs w:val="20"/>
              </w:rPr>
              <w:t xml:space="preserve">(c) Liquidación bancaria internacional</w:t>
            </w:r>
          </w:p>
        </w:tc>
        <w:tc>
          <w:tcPr>
            <w:tcW w:type="dxa" w:w="1600"/>
            <w:tcMar>
              <w:top w:type="dxa" w:w="60"/>
              <w:left w:type="dxa" w:w="100"/>
              <w:bottom w:type="dxa" w:w="60"/>
              <w:right w:type="dxa" w:w="100"/>
            </w:tcMar>
          </w:tcPr>
          <w:p>
            <w:r>
              <w:rPr>
                <w:b w:val="false"/>
                <w:bCs w:val="false"/>
                <w:sz w:val="20"/>
                <w:szCs w:val="20"/>
              </w:rPr>
              <w:t xml:space="preserve">Cascada</w:t>
            </w:r>
          </w:p>
        </w:tc>
        <w:tc>
          <w:tcPr>
            <w:tcW w:type="dxa" w:w="4560"/>
            <w:tcMar>
              <w:top w:type="dxa" w:w="60"/>
              <w:left w:type="dxa" w:w="100"/>
              <w:bottom w:type="dxa" w:w="60"/>
              <w:right w:type="dxa" w:w="100"/>
            </w:tcMar>
          </w:tcPr>
          <w:p>
            <w:r>
              <w:rPr>
                <w:b w:val="false"/>
                <w:bCs w:val="false"/>
                <w:sz w:val="20"/>
                <w:szCs w:val="20"/>
              </w:rPr>
              <w:t xml:space="preserve">Criticidad altísima y requisitos normativos fijos; un error tiene consecuencias legales/económicas</w:t>
            </w:r>
          </w:p>
        </w:tc>
      </w:tr>
    </w:tbl>
    <w:p>
      <w:pPr>
        <w:spacing w:after="100"/>
      </w:pPr>
    </w:p>
    <w:p>
      <w:pPr>
        <w:pStyle w:val="Heading2"/>
        <w:spacing w:after="120" w:before="250"/>
      </w:pPr>
      <w:r>
        <w:t xml:space="preserve">Ejercicio 3 — Caso ficticio distinto, tabla comparativa</w:t>
      </w:r>
    </w:p>
    <w:p>
      <w:pPr>
        <w:spacing w:after="150"/>
      </w:pPr>
      <w:r>
        <w:rPr>
          <w:i/>
          <w:iCs/>
        </w:rPr>
        <w:t xml:space="preserve">Caso: una universidad quiere digitalizar su sistema de grados y certificados oficiales.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60"/>
      </w:tblGrid>
      <w:tr>
        <w:tc>
          <w:tcPr>
            <w:tcW w:type="dxa" w:w="2600"/>
            <w:shd w:fill="D9E2F3" w:val="clear"/>
            <w:tcMar>
              <w:top w:type="dxa" w:w="60"/>
              <w:left w:type="dxa" w:w="100"/>
              <w:bottom w:type="dxa" w:w="60"/>
              <w:right w:type="dxa" w:w="100"/>
            </w:tcMar>
          </w:tcPr>
          <w:p>
            <w:r>
              <w:rPr>
                <w:b/>
                <w:bCs/>
                <w:sz w:val="20"/>
                <w:szCs w:val="20"/>
              </w:rPr>
              <w:t xml:space="preserve">Criterio</w:t>
            </w:r>
          </w:p>
        </w:tc>
        <w:tc>
          <w:tcPr>
            <w:tcW w:type="dxa" w:w="4300"/>
            <w:shd w:fill="D9E2F3" w:val="clear"/>
            <w:tcMar>
              <w:top w:type="dxa" w:w="60"/>
              <w:left w:type="dxa" w:w="100"/>
              <w:bottom w:type="dxa" w:w="60"/>
              <w:right w:type="dxa" w:w="100"/>
            </w:tcMar>
          </w:tcPr>
          <w:p>
            <w:r>
              <w:rPr>
                <w:b/>
                <w:bCs/>
                <w:sz w:val="20"/>
                <w:szCs w:val="20"/>
              </w:rPr>
              <w:t xml:space="preserve">Situación</w:t>
            </w:r>
          </w:p>
        </w:tc>
        <w:tc>
          <w:tcPr>
            <w:tcW w:type="dxa" w:w="2460"/>
            <w:shd w:fill="D9E2F3" w:val="clear"/>
            <w:tcMar>
              <w:top w:type="dxa" w:w="60"/>
              <w:left w:type="dxa" w:w="100"/>
              <w:bottom w:type="dxa" w:w="60"/>
              <w:right w:type="dxa" w:w="100"/>
            </w:tcMar>
          </w:tcPr>
          <w:p>
            <w:r>
              <w:rPr>
                <w:b/>
                <w:bCs/>
                <w:sz w:val="20"/>
                <w:szCs w:val="20"/>
              </w:rPr>
              <w:t xml:space="preserve">Modelo que favorece</w:t>
            </w:r>
          </w:p>
        </w:tc>
      </w:tr>
      <w:tr>
        <w:tc>
          <w:tcPr>
            <w:tcW w:type="dxa" w:w="2600"/>
            <w:tcMar>
              <w:top w:type="dxa" w:w="60"/>
              <w:left w:type="dxa" w:w="100"/>
              <w:bottom w:type="dxa" w:w="60"/>
              <w:right w:type="dxa" w:w="100"/>
            </w:tcMar>
          </w:tcPr>
          <w:p>
            <w:r>
              <w:rPr>
                <w:b w:val="false"/>
                <w:bCs w:val="false"/>
                <w:sz w:val="20"/>
                <w:szCs w:val="20"/>
              </w:rPr>
              <w:t xml:space="preserve">Claridad de requisitos</w:t>
            </w:r>
          </w:p>
        </w:tc>
        <w:tc>
          <w:tcPr>
            <w:tcW w:type="dxa" w:w="4300"/>
            <w:tcMar>
              <w:top w:type="dxa" w:w="60"/>
              <w:left w:type="dxa" w:w="100"/>
              <w:bottom w:type="dxa" w:w="60"/>
              <w:right w:type="dxa" w:w="100"/>
            </w:tcMar>
          </w:tcPr>
          <w:p>
            <w:r>
              <w:rPr>
                <w:b w:val="false"/>
                <w:bCs w:val="false"/>
                <w:sz w:val="20"/>
                <w:szCs w:val="20"/>
              </w:rPr>
              <w:t xml:space="preserve">Formatos definidos por normativa institucional estable</w:t>
            </w:r>
          </w:p>
        </w:tc>
        <w:tc>
          <w:tcPr>
            <w:tcW w:type="dxa" w:w="2460"/>
            <w:tcMar>
              <w:top w:type="dxa" w:w="60"/>
              <w:left w:type="dxa" w:w="100"/>
              <w:bottom w:type="dxa" w:w="60"/>
              <w:right w:type="dxa" w:w="100"/>
            </w:tcMar>
          </w:tcPr>
          <w:p>
            <w:r>
              <w:rPr>
                <w:b w:val="false"/>
                <w:bCs w:val="false"/>
                <w:sz w:val="20"/>
                <w:szCs w:val="20"/>
              </w:rPr>
              <w:t xml:space="preserve">Cascada</w:t>
            </w:r>
          </w:p>
        </w:tc>
      </w:tr>
      <w:tr>
        <w:tc>
          <w:tcPr>
            <w:tcW w:type="dxa" w:w="2600"/>
            <w:tcMar>
              <w:top w:type="dxa" w:w="60"/>
              <w:left w:type="dxa" w:w="100"/>
              <w:bottom w:type="dxa" w:w="60"/>
              <w:right w:type="dxa" w:w="100"/>
            </w:tcMar>
          </w:tcPr>
          <w:p>
            <w:r>
              <w:rPr>
                <w:b w:val="false"/>
                <w:bCs w:val="false"/>
                <w:sz w:val="20"/>
                <w:szCs w:val="20"/>
              </w:rPr>
              <w:t xml:space="preserve">Criticidad</w:t>
            </w:r>
          </w:p>
        </w:tc>
        <w:tc>
          <w:tcPr>
            <w:tcW w:type="dxa" w:w="4300"/>
            <w:tcMar>
              <w:top w:type="dxa" w:w="60"/>
              <w:left w:type="dxa" w:w="100"/>
              <w:bottom w:type="dxa" w:w="60"/>
              <w:right w:type="dxa" w:w="100"/>
            </w:tcMar>
          </w:tcPr>
          <w:p>
            <w:r>
              <w:rPr>
                <w:b w:val="false"/>
                <w:bCs w:val="false"/>
                <w:sz w:val="20"/>
                <w:szCs w:val="20"/>
              </w:rPr>
              <w:t xml:space="preserve">Alta: error en certificado oficial tiene implicancias legales</w:t>
            </w:r>
          </w:p>
        </w:tc>
        <w:tc>
          <w:tcPr>
            <w:tcW w:type="dxa" w:w="2460"/>
            <w:tcMar>
              <w:top w:type="dxa" w:w="60"/>
              <w:left w:type="dxa" w:w="100"/>
              <w:bottom w:type="dxa" w:w="60"/>
              <w:right w:type="dxa" w:w="100"/>
            </w:tcMar>
          </w:tcPr>
          <w:p>
            <w:r>
              <w:rPr>
                <w:b w:val="false"/>
                <w:bCs w:val="false"/>
                <w:sz w:val="20"/>
                <w:szCs w:val="20"/>
              </w:rPr>
              <w:t xml:space="preserve">Cascada</w:t>
            </w:r>
          </w:p>
        </w:tc>
      </w:tr>
      <w:tr>
        <w:tc>
          <w:tcPr>
            <w:tcW w:type="dxa" w:w="2600"/>
            <w:tcMar>
              <w:top w:type="dxa" w:w="60"/>
              <w:left w:type="dxa" w:w="100"/>
              <w:bottom w:type="dxa" w:w="60"/>
              <w:right w:type="dxa" w:w="100"/>
            </w:tcMar>
          </w:tcPr>
          <w:p>
            <w:r>
              <w:rPr>
                <w:b w:val="false"/>
                <w:bCs w:val="false"/>
                <w:sz w:val="20"/>
                <w:szCs w:val="20"/>
              </w:rPr>
              <w:t xml:space="preserve">Participación del stakeholder</w:t>
            </w:r>
          </w:p>
        </w:tc>
        <w:tc>
          <w:tcPr>
            <w:tcW w:type="dxa" w:w="4300"/>
            <w:tcMar>
              <w:top w:type="dxa" w:w="60"/>
              <w:left w:type="dxa" w:w="100"/>
              <w:bottom w:type="dxa" w:w="60"/>
              <w:right w:type="dxa" w:w="100"/>
            </w:tcMar>
          </w:tcPr>
          <w:p>
            <w:r>
              <w:rPr>
                <w:b w:val="false"/>
                <w:bCs w:val="false"/>
                <w:sz w:val="20"/>
                <w:szCs w:val="20"/>
              </w:rPr>
              <w:t xml:space="preserve">Registro académico participa al inicio y al final</w:t>
            </w:r>
          </w:p>
        </w:tc>
        <w:tc>
          <w:tcPr>
            <w:tcW w:type="dxa" w:w="2460"/>
            <w:tcMar>
              <w:top w:type="dxa" w:w="60"/>
              <w:left w:type="dxa" w:w="100"/>
              <w:bottom w:type="dxa" w:w="60"/>
              <w:right w:type="dxa" w:w="100"/>
            </w:tcMar>
          </w:tcPr>
          <w:p>
            <w:r>
              <w:rPr>
                <w:b w:val="false"/>
                <w:bCs w:val="false"/>
                <w:sz w:val="20"/>
                <w:szCs w:val="20"/>
              </w:rPr>
              <w:t xml:space="preserve">Cascada</w:t>
            </w:r>
          </w:p>
        </w:tc>
      </w:tr>
      <w:tr>
        <w:tc>
          <w:tcPr>
            <w:tcW w:type="dxa" w:w="2600"/>
            <w:tcMar>
              <w:top w:type="dxa" w:w="60"/>
              <w:left w:type="dxa" w:w="100"/>
              <w:bottom w:type="dxa" w:w="60"/>
              <w:right w:type="dxa" w:w="100"/>
            </w:tcMar>
          </w:tcPr>
          <w:p>
            <w:r>
              <w:rPr>
                <w:b w:val="false"/>
                <w:bCs w:val="false"/>
                <w:sz w:val="20"/>
                <w:szCs w:val="20"/>
              </w:rPr>
              <w:t xml:space="preserve">Tamaño/madurez del equipo</w:t>
            </w:r>
          </w:p>
        </w:tc>
        <w:tc>
          <w:tcPr>
            <w:tcW w:type="dxa" w:w="4300"/>
            <w:tcMar>
              <w:top w:type="dxa" w:w="60"/>
              <w:left w:type="dxa" w:w="100"/>
              <w:bottom w:type="dxa" w:w="60"/>
              <w:right w:type="dxa" w:w="100"/>
            </w:tcMar>
          </w:tcPr>
          <w:p>
            <w:r>
              <w:rPr>
                <w:b w:val="false"/>
                <w:bCs w:val="false"/>
                <w:sz w:val="20"/>
                <w:szCs w:val="20"/>
              </w:rPr>
              <w:t xml:space="preserve">Equipo mediano con roles definidos</w:t>
            </w:r>
          </w:p>
        </w:tc>
        <w:tc>
          <w:tcPr>
            <w:tcW w:type="dxa" w:w="2460"/>
            <w:tcMar>
              <w:top w:type="dxa" w:w="60"/>
              <w:left w:type="dxa" w:w="100"/>
              <w:bottom w:type="dxa" w:w="60"/>
              <w:right w:type="dxa" w:w="100"/>
            </w:tcMar>
          </w:tcPr>
          <w:p>
            <w:r>
              <w:rPr>
                <w:b w:val="false"/>
                <w:bCs w:val="false"/>
                <w:sz w:val="20"/>
                <w:szCs w:val="20"/>
              </w:rPr>
              <w:t xml:space="preserve">Cascada / Incremental</w:t>
            </w:r>
          </w:p>
        </w:tc>
      </w:tr>
      <w:tr>
        <w:tc>
          <w:tcPr>
            <w:tcW w:type="dxa" w:w="2600"/>
            <w:tcMar>
              <w:top w:type="dxa" w:w="60"/>
              <w:left w:type="dxa" w:w="100"/>
              <w:bottom w:type="dxa" w:w="60"/>
              <w:right w:type="dxa" w:w="100"/>
            </w:tcMar>
          </w:tcPr>
          <w:p>
            <w:r>
              <w:rPr>
                <w:b w:val="false"/>
                <w:bCs w:val="false"/>
                <w:sz w:val="20"/>
                <w:szCs w:val="20"/>
              </w:rPr>
              <w:t xml:space="preserve">Tolerancia al cambio</w:t>
            </w:r>
          </w:p>
        </w:tc>
        <w:tc>
          <w:tcPr>
            <w:tcW w:type="dxa" w:w="4300"/>
            <w:tcMar>
              <w:top w:type="dxa" w:w="60"/>
              <w:left w:type="dxa" w:w="100"/>
              <w:bottom w:type="dxa" w:w="60"/>
              <w:right w:type="dxa" w:w="100"/>
            </w:tcMar>
          </w:tcPr>
          <w:p>
            <w:r>
              <w:rPr>
                <w:b w:val="false"/>
                <w:bCs w:val="false"/>
                <w:sz w:val="20"/>
                <w:szCs w:val="20"/>
              </w:rPr>
              <w:t xml:space="preserve">Muy baja: los formatos no cambian con frecuencia</w:t>
            </w:r>
          </w:p>
        </w:tc>
        <w:tc>
          <w:tcPr>
            <w:tcW w:type="dxa" w:w="2460"/>
            <w:tcMar>
              <w:top w:type="dxa" w:w="60"/>
              <w:left w:type="dxa" w:w="100"/>
              <w:bottom w:type="dxa" w:w="60"/>
              <w:right w:type="dxa" w:w="100"/>
            </w:tcMar>
          </w:tcPr>
          <w:p>
            <w:r>
              <w:rPr>
                <w:b w:val="false"/>
                <w:bCs w:val="false"/>
                <w:sz w:val="20"/>
                <w:szCs w:val="20"/>
              </w:rPr>
              <w:t xml:space="preserve">Cascada</w:t>
            </w:r>
          </w:p>
        </w:tc>
      </w:tr>
    </w:tbl>
    <w:p>
      <w:pPr>
        <w:spacing w:after="150"/>
      </w:pPr>
      <w:r>
        <w:rPr>
          <w:b/>
          <w:bCs/>
        </w:rPr>
        <w:t xml:space="preserve">Conclusión: este caso favorece claramente un modelo Cascada, por combinar requisitos estables con alta criticidad regulatoria.</w:t>
      </w:r>
    </w:p>
    <w:p>
      <w:pPr>
        <w:spacing w:after="100"/>
      </w:pPr>
    </w:p>
    <w:p>
      <w:pPr>
        <w:pStyle w:val="Heading2"/>
        <w:spacing w:after="120" w:before="250"/>
      </w:pPr>
      <w:r>
        <w:t xml:space="preserve">Ejercicio 4 — Caso real de modelo inadecuado</w:t>
      </w:r>
    </w:p>
    <w:p>
      <w:pPr>
        <w:pBdr>
          <w:left w:val="single" w:color="888888" w:sz="12" w:space="8"/>
        </w:pBdr>
        <w:spacing w:after="150"/>
        <w:ind w:left="400"/>
      </w:pPr>
      <w:r>
        <w:rPr>
          <w:i/>
          <w:iCs/>
        </w:rPr>
        <w:t xml:space="preserve">HealthCare.gov (EE. UU., 2013) se gestionó con un enfoque cercano a Cascada, con decenas de contratistas trabajando aislados y una fecha de lanzamiento política fija, mientras los requisitos de integración entre aseguradoras seguían siendo inciertos. El resultado fue un lanzamiento con fallas masivas: el sitio colapsó el primer día por miles de usuarios simultáneos y errores de integración no detectados a tiempo. Un modelo más incremental, con integraciones probadas por partes, habría permitido detectar estos problemas antes del lanzamiento público.</w:t>
      </w:r>
    </w:p>
    <w:p>
      <w:pPr>
        <w:spacing w:after="150"/>
      </w:pPr>
      <w:r>
        <w:rPr>
          <w:i/>
          <w:iCs/>
        </w:rPr>
        <w:t xml:space="preserve">Fuente: Government Accountability Office (GAO), HealthCare.gov: Case Study of CMS Management of the Federal Marketplace (2016).</w:t>
      </w:r>
    </w:p>
    <w:p>
      <w:pPr>
        <w:pStyle w:val="Heading2"/>
        <w:spacing w:after="120" w:before="250"/>
      </w:pPr>
      <w:r>
        <w:t xml:space="preserve">Ejercicio 5 — Auditoría a la IA sobre metodología</w:t>
      </w:r>
    </w:p>
    <w:p>
      <w:pPr>
        <w:spacing w:after="150"/>
      </w:pPr>
      <w:r>
        <w:t xml:space="preserve">Documenta tu propio prompt y respuesta reales. Prompt sugerido sin dar contexto: "¿Qué metodología de desarrollo debería usar para un sistema bancario de liquidación de transacciones internacionales?" Evalúa si la IA consideró la criticidad y estabilidad regulatoria antes de responder, o si simplemente recomendó "Agile/Scrum" por ser la respuesta más común.</w:t>
      </w:r>
    </w:p>
    <w:p>
      <w:pPr>
        <w:pStyle w:val="Heading1"/>
        <w:spacing w:after="150" w:before="300"/>
      </w:pPr>
      <w:r>
        <w:t xml:space="preserve">Foro de reflexión (borrador, 250–300 palabras)</w:t>
      </w:r>
    </w:p>
    <w:p>
      <w:pPr>
        <w:pBdr>
          <w:left w:val="single" w:color="888888" w:sz="12" w:space="8"/>
        </w:pBdr>
        <w:spacing w:after="150"/>
        <w:ind w:left="400"/>
      </w:pPr>
      <w:r>
        <w:rPr>
          <w:i/>
          <w:iCs/>
        </w:rPr>
        <w:t xml:space="preserve">Adoptar un ciclo de vida ágil puro, sin ninguna fase formal de análisis y diseño previo, es razonable cuando el costo de un error es reversible. Pero cuando la criticidad del sistema es alta —banca, salud, control aduanero— saltarse el análisis formal en nombre de "ser ágiles" traslada el riesgo hacia etapas donde ya es mucho más caro corregirlo.</w:t>
      </w:r>
    </w:p>
    <w:p>
      <w:pPr>
        <w:pBdr>
          <w:left w:val="single" w:color="888888" w:sz="12" w:space="8"/>
        </w:pBdr>
        <w:spacing w:after="150"/>
        <w:ind w:left="400"/>
      </w:pPr>
      <w:r>
        <w:rPr>
          <w:i/>
          <w:iCs/>
        </w:rPr>
        <w:t xml:space="preserve">Como futuros ingenieros, tenemos el deber de explicar técnicamente por qué la agilidad pura no es adecuada para un contexto crítico, sin obedecer por complacencia comercial. Esto no significa rechazar la agilidad, sino insistir en una fase de análisis y diseño proporcional a la criticidad real del sistema.</w:t>
      </w:r>
    </w:p>
    <w:p>
      <w:pPr>
        <w:pBdr>
          <w:left w:val="single" w:color="888888" w:sz="12" w:space="8"/>
        </w:pBdr>
        <w:spacing w:after="150"/>
        <w:ind w:left="400"/>
      </w:pPr>
      <w:r>
        <w:rPr>
          <w:i/>
          <w:iCs/>
        </w:rPr>
        <w:t xml:space="preserve">En StockCentral, la criticidad es media-baja (un error de inventario es corregible), por lo que un modelo ágil puro es apropiado. Pero si construyéramos, por ejemplo, el sistema de facturación electrónica integrado con la DIAN, exigiríamos un análisis mucho más formal antes de programar.</w:t>
      </w:r>
    </w:p>
    <w:p>
      <w:pPr>
        <w:spacing w:after="100"/>
      </w:pPr>
    </w:p>
    <w:p>
      <w:pPr>
        <w:pStyle w:val="Heading1"/>
        <w:spacing w:after="150" w:before="300"/>
      </w:pPr>
      <w:r>
        <w:t xml:space="preserve">Cuestionario — respuestas correctas</w:t>
      </w:r>
    </w:p>
    <w:p>
      <w:pPr>
        <w:spacing w:after="150"/>
      </w:pPr>
      <w:r>
        <w:t xml:space="preserve">1. B  ·  2. B  ·  3. C  ·  4. B  ·  5. B  ·  6. B  ·  7. C</w:t>
      </w:r>
    </w:p>
    <w:p>
      <w:pPr>
        <w:pStyle w:val="Heading1"/>
        <w:spacing w:after="150" w:before="300"/>
      </w:pPr>
      <w:r>
        <w:t xml:space="preserve">FPI-02 — Ficha diligenciada</w:t>
      </w:r>
    </w:p>
    <w:p>
      <w:pPr>
        <w:spacing w:after="150"/>
      </w:pPr>
      <w:r>
        <w:rPr>
          <w:b/>
          <w:bCs/>
        </w:rPr>
        <w:t xml:space="preserve">Resumen recuperado de la FPI-01: </w:t>
      </w:r>
    </w:p>
    <w:p>
      <w:pPr>
        <w:spacing w:after="150"/>
      </w:pPr>
      <w:r>
        <w:t xml:space="preserve">StockCentral — sistema de gestión de inventario y dashboard administrativo para Boutique El Manantial. Stakeholders: dueña, empleado de ventas, cliente final.</w:t>
      </w:r>
    </w:p>
    <w:p>
      <w:pPr>
        <w:spacing w:after="150"/>
      </w:pPr>
      <w:r>
        <w:rPr>
          <w:b/>
          <w:bCs/>
        </w:rPr>
        <w:t xml:space="preserve">¿Algo cambió desde la FPI-01? Sin cambios.</w:t>
      </w:r>
    </w:p>
    <w:p>
      <w:pPr>
        <w:pStyle w:val="Heading2"/>
        <w:spacing w:after="120" w:before="250"/>
      </w:pPr>
      <w:r>
        <w:t xml:space="preserve">1. Análisis según los criterios de selección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460"/>
      </w:tblGrid>
      <w:tr>
        <w:tc>
          <w:tcPr>
            <w:tcW w:type="dxa" w:w="2600"/>
            <w:shd w:fill="D9E2F3" w:val="clear"/>
            <w:tcMar>
              <w:top w:type="dxa" w:w="60"/>
              <w:left w:type="dxa" w:w="100"/>
              <w:bottom w:type="dxa" w:w="60"/>
              <w:right w:type="dxa" w:w="100"/>
            </w:tcMar>
          </w:tcPr>
          <w:p>
            <w:r>
              <w:rPr>
                <w:b/>
                <w:bCs/>
                <w:sz w:val="20"/>
                <w:szCs w:val="20"/>
              </w:rPr>
              <w:t xml:space="preserve">Criterio</w:t>
            </w:r>
          </w:p>
        </w:tc>
        <w:tc>
          <w:tcPr>
            <w:tcW w:type="dxa" w:w="4300"/>
            <w:shd w:fill="D9E2F3" w:val="clear"/>
            <w:tcMar>
              <w:top w:type="dxa" w:w="60"/>
              <w:left w:type="dxa" w:w="100"/>
              <w:bottom w:type="dxa" w:w="60"/>
              <w:right w:type="dxa" w:w="100"/>
            </w:tcMar>
          </w:tcPr>
          <w:p>
            <w:r>
              <w:rPr>
                <w:b/>
                <w:bCs/>
                <w:sz w:val="20"/>
                <w:szCs w:val="20"/>
              </w:rPr>
              <w:t xml:space="preserve">Situación real de StockCentral</w:t>
            </w:r>
          </w:p>
        </w:tc>
        <w:tc>
          <w:tcPr>
            <w:tcW w:type="dxa" w:w="2460"/>
            <w:shd w:fill="D9E2F3" w:val="clear"/>
            <w:tcMar>
              <w:top w:type="dxa" w:w="60"/>
              <w:left w:type="dxa" w:w="100"/>
              <w:bottom w:type="dxa" w:w="60"/>
              <w:right w:type="dxa" w:w="100"/>
            </w:tcMar>
          </w:tcPr>
          <w:p>
            <w:r>
              <w:rPr>
                <w:b/>
                <w:bCs/>
                <w:sz w:val="20"/>
                <w:szCs w:val="20"/>
              </w:rPr>
              <w:t xml:space="preserve">Modelo que sugiere</w:t>
            </w:r>
          </w:p>
        </w:tc>
      </w:tr>
      <w:tr>
        <w:tc>
          <w:tcPr>
            <w:tcW w:type="dxa" w:w="2600"/>
            <w:tcMar>
              <w:top w:type="dxa" w:w="60"/>
              <w:left w:type="dxa" w:w="100"/>
              <w:bottom w:type="dxa" w:w="60"/>
              <w:right w:type="dxa" w:w="100"/>
            </w:tcMar>
          </w:tcPr>
          <w:p>
            <w:r>
              <w:rPr>
                <w:b w:val="false"/>
                <w:bCs w:val="false"/>
                <w:sz w:val="20"/>
                <w:szCs w:val="20"/>
              </w:rPr>
              <w:t xml:space="preserve">Claridad de requisitos</w:t>
            </w:r>
          </w:p>
        </w:tc>
        <w:tc>
          <w:tcPr>
            <w:tcW w:type="dxa" w:w="4300"/>
            <w:tcMar>
              <w:top w:type="dxa" w:w="60"/>
              <w:left w:type="dxa" w:w="100"/>
              <w:bottom w:type="dxa" w:w="60"/>
              <w:right w:type="dxa" w:w="100"/>
            </w:tcMar>
          </w:tcPr>
          <w:p>
            <w:r>
              <w:rPr>
                <w:b w:val="false"/>
                <w:bCs w:val="false"/>
                <w:sz w:val="20"/>
                <w:szCs w:val="20"/>
              </w:rPr>
              <w:t xml:space="preserve">Idea general clara, pero detalles se afinarán con retroalimentación</w:t>
            </w:r>
          </w:p>
        </w:tc>
        <w:tc>
          <w:tcPr>
            <w:tcW w:type="dxa" w:w="2460"/>
            <w:tcMar>
              <w:top w:type="dxa" w:w="60"/>
              <w:left w:type="dxa" w:w="100"/>
              <w:bottom w:type="dxa" w:w="60"/>
              <w:right w:type="dxa" w:w="100"/>
            </w:tcMar>
          </w:tcPr>
          <w:p>
            <w:r>
              <w:rPr>
                <w:b w:val="false"/>
                <w:bCs w:val="false"/>
                <w:sz w:val="20"/>
                <w:szCs w:val="20"/>
              </w:rPr>
              <w:t xml:space="preserve">Ágil</w:t>
            </w:r>
          </w:p>
        </w:tc>
      </w:tr>
      <w:tr>
        <w:tc>
          <w:tcPr>
            <w:tcW w:type="dxa" w:w="2600"/>
            <w:tcMar>
              <w:top w:type="dxa" w:w="60"/>
              <w:left w:type="dxa" w:w="100"/>
              <w:bottom w:type="dxa" w:w="60"/>
              <w:right w:type="dxa" w:w="100"/>
            </w:tcMar>
          </w:tcPr>
          <w:p>
            <w:r>
              <w:rPr>
                <w:b w:val="false"/>
                <w:bCs w:val="false"/>
                <w:sz w:val="20"/>
                <w:szCs w:val="20"/>
              </w:rPr>
              <w:t xml:space="preserve">Criticidad y tolerancia al fallo</w:t>
            </w:r>
          </w:p>
        </w:tc>
        <w:tc>
          <w:tcPr>
            <w:tcW w:type="dxa" w:w="4300"/>
            <w:tcMar>
              <w:top w:type="dxa" w:w="60"/>
              <w:left w:type="dxa" w:w="100"/>
              <w:bottom w:type="dxa" w:w="60"/>
              <w:right w:type="dxa" w:w="100"/>
            </w:tcMar>
          </w:tcPr>
          <w:p>
            <w:r>
              <w:rPr>
                <w:b w:val="false"/>
                <w:bCs w:val="false"/>
                <w:sz w:val="20"/>
                <w:szCs w:val="20"/>
              </w:rPr>
              <w:t xml:space="preserve">Media-baja: error de inventario es corregible</w:t>
            </w:r>
          </w:p>
        </w:tc>
        <w:tc>
          <w:tcPr>
            <w:tcW w:type="dxa" w:w="2460"/>
            <w:tcMar>
              <w:top w:type="dxa" w:w="60"/>
              <w:left w:type="dxa" w:w="100"/>
              <w:bottom w:type="dxa" w:w="60"/>
              <w:right w:type="dxa" w:w="100"/>
            </w:tcMar>
          </w:tcPr>
          <w:p>
            <w:r>
              <w:rPr>
                <w:b w:val="false"/>
                <w:bCs w:val="false"/>
                <w:sz w:val="20"/>
                <w:szCs w:val="20"/>
              </w:rPr>
              <w:t xml:space="preserve">Ágil</w:t>
            </w:r>
          </w:p>
        </w:tc>
      </w:tr>
      <w:tr>
        <w:tc>
          <w:tcPr>
            <w:tcW w:type="dxa" w:w="2600"/>
            <w:tcMar>
              <w:top w:type="dxa" w:w="60"/>
              <w:left w:type="dxa" w:w="100"/>
              <w:bottom w:type="dxa" w:w="60"/>
              <w:right w:type="dxa" w:w="100"/>
            </w:tcMar>
          </w:tcPr>
          <w:p>
            <w:r>
              <w:rPr>
                <w:b w:val="false"/>
                <w:bCs w:val="false"/>
                <w:sz w:val="20"/>
                <w:szCs w:val="20"/>
              </w:rPr>
              <w:t xml:space="preserve">Participación del stakeholder</w:t>
            </w:r>
          </w:p>
        </w:tc>
        <w:tc>
          <w:tcPr>
            <w:tcW w:type="dxa" w:w="4300"/>
            <w:tcMar>
              <w:top w:type="dxa" w:w="60"/>
              <w:left w:type="dxa" w:w="100"/>
              <w:bottom w:type="dxa" w:w="60"/>
              <w:right w:type="dxa" w:w="100"/>
            </w:tcMar>
          </w:tcPr>
          <w:p>
            <w:r>
              <w:rPr>
                <w:b w:val="false"/>
                <w:bCs w:val="false"/>
                <w:sz w:val="20"/>
                <w:szCs w:val="20"/>
              </w:rPr>
              <w:t xml:space="preserve">Dueña disponible casi a diario en el local</w:t>
            </w:r>
          </w:p>
        </w:tc>
        <w:tc>
          <w:tcPr>
            <w:tcW w:type="dxa" w:w="2460"/>
            <w:tcMar>
              <w:top w:type="dxa" w:w="60"/>
              <w:left w:type="dxa" w:w="100"/>
              <w:bottom w:type="dxa" w:w="60"/>
              <w:right w:type="dxa" w:w="100"/>
            </w:tcMar>
          </w:tcPr>
          <w:p>
            <w:r>
              <w:rPr>
                <w:b w:val="false"/>
                <w:bCs w:val="false"/>
                <w:sz w:val="20"/>
                <w:szCs w:val="20"/>
              </w:rPr>
              <w:t xml:space="preserve">Ágil</w:t>
            </w:r>
          </w:p>
        </w:tc>
      </w:tr>
      <w:tr>
        <w:tc>
          <w:tcPr>
            <w:tcW w:type="dxa" w:w="2600"/>
            <w:tcMar>
              <w:top w:type="dxa" w:w="60"/>
              <w:left w:type="dxa" w:w="100"/>
              <w:bottom w:type="dxa" w:w="60"/>
              <w:right w:type="dxa" w:w="100"/>
            </w:tcMar>
          </w:tcPr>
          <w:p>
            <w:r>
              <w:rPr>
                <w:b w:val="false"/>
                <w:bCs w:val="false"/>
                <w:sz w:val="20"/>
                <w:szCs w:val="20"/>
              </w:rPr>
              <w:t xml:space="preserve">Tamaño y madurez del equipo</w:t>
            </w:r>
          </w:p>
        </w:tc>
        <w:tc>
          <w:tcPr>
            <w:tcW w:type="dxa" w:w="4300"/>
            <w:tcMar>
              <w:top w:type="dxa" w:w="60"/>
              <w:left w:type="dxa" w:w="100"/>
              <w:bottom w:type="dxa" w:w="60"/>
              <w:right w:type="dxa" w:w="100"/>
            </w:tcMar>
          </w:tcPr>
          <w:p>
            <w:r>
              <w:rPr>
                <w:b w:val="false"/>
                <w:bCs w:val="false"/>
                <w:sz w:val="20"/>
                <w:szCs w:val="20"/>
              </w:rPr>
              <w:t xml:space="preserve">Equipo pequeño, autoorganizado, sin roles rígidos</w:t>
            </w:r>
          </w:p>
        </w:tc>
        <w:tc>
          <w:tcPr>
            <w:tcW w:type="dxa" w:w="2460"/>
            <w:tcMar>
              <w:top w:type="dxa" w:w="60"/>
              <w:left w:type="dxa" w:w="100"/>
              <w:bottom w:type="dxa" w:w="60"/>
              <w:right w:type="dxa" w:w="100"/>
            </w:tcMar>
          </w:tcPr>
          <w:p>
            <w:r>
              <w:rPr>
                <w:b w:val="false"/>
                <w:bCs w:val="false"/>
                <w:sz w:val="20"/>
                <w:szCs w:val="20"/>
              </w:rPr>
              <w:t xml:space="preserve">Ágil</w:t>
            </w:r>
          </w:p>
        </w:tc>
      </w:tr>
      <w:tr>
        <w:tc>
          <w:tcPr>
            <w:tcW w:type="dxa" w:w="2600"/>
            <w:tcMar>
              <w:top w:type="dxa" w:w="60"/>
              <w:left w:type="dxa" w:w="100"/>
              <w:bottom w:type="dxa" w:w="60"/>
              <w:right w:type="dxa" w:w="100"/>
            </w:tcMar>
          </w:tcPr>
          <w:p>
            <w:r>
              <w:rPr>
                <w:b w:val="false"/>
                <w:bCs w:val="false"/>
                <w:sz w:val="20"/>
                <w:szCs w:val="20"/>
              </w:rPr>
              <w:t xml:space="preserve">Tolerancia al cambio de alcance</w:t>
            </w:r>
          </w:p>
        </w:tc>
        <w:tc>
          <w:tcPr>
            <w:tcW w:type="dxa" w:w="4300"/>
            <w:tcMar>
              <w:top w:type="dxa" w:w="60"/>
              <w:left w:type="dxa" w:w="100"/>
              <w:bottom w:type="dxa" w:w="60"/>
              <w:right w:type="dxa" w:w="100"/>
            </w:tcMar>
          </w:tcPr>
          <w:p>
            <w:r>
              <w:rPr>
                <w:b w:val="false"/>
                <w:bCs w:val="false"/>
                <w:sz w:val="20"/>
                <w:szCs w:val="20"/>
              </w:rPr>
              <w:t xml:space="preserve">Alta: se espera ajustar funcionalidades sobre la marcha</w:t>
            </w:r>
          </w:p>
        </w:tc>
        <w:tc>
          <w:tcPr>
            <w:tcW w:type="dxa" w:w="2460"/>
            <w:tcMar>
              <w:top w:type="dxa" w:w="60"/>
              <w:left w:type="dxa" w:w="100"/>
              <w:bottom w:type="dxa" w:w="60"/>
              <w:right w:type="dxa" w:w="100"/>
            </w:tcMar>
          </w:tcPr>
          <w:p>
            <w:r>
              <w:rPr>
                <w:b w:val="false"/>
                <w:bCs w:val="false"/>
                <w:sz w:val="20"/>
                <w:szCs w:val="20"/>
              </w:rPr>
              <w:t xml:space="preserve">Ágil</w:t>
            </w:r>
          </w:p>
        </w:tc>
      </w:tr>
    </w:tbl>
    <w:p>
      <w:pPr>
        <w:spacing w:after="100"/>
      </w:pPr>
    </w:p>
    <w:p>
      <w:pPr>
        <w:pStyle w:val="Heading2"/>
        <w:spacing w:after="120" w:before="250"/>
      </w:pPr>
      <w:r>
        <w:t xml:space="preserve">2. Modelo de ciclo de vida seleccionado y justificación (150+ palabras)</w:t>
      </w:r>
    </w:p>
    <w:p>
      <w:pPr>
        <w:pBdr>
          <w:left w:val="single" w:color="888888" w:sz="12" w:space="8"/>
        </w:pBdr>
        <w:spacing w:after="150"/>
        <w:ind w:left="400"/>
      </w:pPr>
      <w:r>
        <w:rPr>
          <w:i/>
          <w:iCs/>
        </w:rPr>
        <w:t xml:space="preserve">El equipo selecciona un modelo Ágil (con Scrum como marco de referencia) para StockCentral. Esta decisión se basa en que los cinco criterios evaluados apuntan consistentemente hacia la agilidad: los requisitos tienen una visión clara a alto nivel pero es probable que cambien conforme la dueña interactúe con versiones tempranas del sistema. La criticidad es media-baja, lo que hace innecesario el costo de un modelo predictivo rígido. La stakeholder principal está disponible con frecuencia para dar retroalimentación, condición ideal para sprints cortos. El equipo es pequeño y autoorganizado, características que encajan con la filosofía ágil. Esta decisión no se toma por moda, sino porque cada criterio de la Guía 2 apunta en la misma dirección.</w:t>
      </w:r>
    </w:p>
    <w:p>
      <w:pPr>
        <w:pStyle w:val="Heading2"/>
        <w:spacing w:after="120" w:before="250"/>
      </w:pPr>
      <w:r>
        <w:t xml:space="preserve">3. Riesgos de la elección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60"/>
              <w:left w:type="dxa" w:w="100"/>
              <w:bottom w:type="dxa" w:w="60"/>
              <w:right w:type="dxa" w:w="100"/>
            </w:tcMar>
          </w:tcPr>
          <w:p>
            <w:r>
              <w:rPr>
                <w:b/>
                <w:bCs/>
                <w:sz w:val="20"/>
                <w:szCs w:val="20"/>
              </w:rPr>
              <w:t xml:space="preserve">Riesgo</w:t>
            </w:r>
          </w:p>
        </w:tc>
        <w:tc>
          <w:tcPr>
            <w:tcW w:type="dxa" w:w="4680"/>
            <w:shd w:fill="D9E2F3" w:val="clear"/>
            <w:tcMar>
              <w:top w:type="dxa" w:w="60"/>
              <w:left w:type="dxa" w:w="100"/>
              <w:bottom w:type="dxa" w:w="60"/>
              <w:right w:type="dxa" w:w="100"/>
            </w:tcMar>
          </w:tcPr>
          <w:p>
            <w:r>
              <w:rPr>
                <w:b/>
                <w:bCs/>
                <w:sz w:val="20"/>
                <w:szCs w:val="20"/>
              </w:rPr>
              <w:t xml:space="preserve">Mitigación</w:t>
            </w:r>
          </w:p>
        </w:tc>
      </w:tr>
      <w:tr>
        <w:tc>
          <w:tcPr>
            <w:tcW w:type="dxa" w:w="4680"/>
            <w:tcMar>
              <w:top w:type="dxa" w:w="60"/>
              <w:left w:type="dxa" w:w="100"/>
              <w:bottom w:type="dxa" w:w="60"/>
              <w:right w:type="dxa" w:w="100"/>
            </w:tcMar>
          </w:tcPr>
          <w:p>
            <w:r>
              <w:rPr>
                <w:b w:val="false"/>
                <w:bCs w:val="false"/>
                <w:sz w:val="20"/>
                <w:szCs w:val="20"/>
              </w:rPr>
              <w:t xml:space="preserve">Perder de vista el alcance global sin análisis formal inicial</w:t>
            </w:r>
          </w:p>
        </w:tc>
        <w:tc>
          <w:tcPr>
            <w:tcW w:type="dxa" w:w="4680"/>
            <w:tcMar>
              <w:top w:type="dxa" w:w="60"/>
              <w:left w:type="dxa" w:w="100"/>
              <w:bottom w:type="dxa" w:w="60"/>
              <w:right w:type="dxa" w:w="100"/>
            </w:tcMar>
          </w:tcPr>
          <w:p>
            <w:r>
              <w:rPr>
                <w:b w:val="false"/>
                <w:bCs w:val="false"/>
                <w:sz w:val="20"/>
                <w:szCs w:val="20"/>
              </w:rPr>
              <w:t xml:space="preserve">Backlog priorizado (MoSCoW, Guía 7) revisado constantemente</w:t>
            </w:r>
          </w:p>
        </w:tc>
      </w:tr>
      <w:tr>
        <w:tc>
          <w:tcPr>
            <w:tcW w:type="dxa" w:w="4680"/>
            <w:tcMar>
              <w:top w:type="dxa" w:w="60"/>
              <w:left w:type="dxa" w:w="100"/>
              <w:bottom w:type="dxa" w:w="60"/>
              <w:right w:type="dxa" w:w="100"/>
            </w:tcMar>
          </w:tcPr>
          <w:p>
            <w:r>
              <w:rPr>
                <w:b w:val="false"/>
                <w:bCs w:val="false"/>
                <w:sz w:val="20"/>
                <w:szCs w:val="20"/>
              </w:rPr>
              <w:t xml:space="preserve">Disponibilidad real de la dueña menor a la esperada</w:t>
            </w:r>
          </w:p>
        </w:tc>
        <w:tc>
          <w:tcPr>
            <w:tcW w:type="dxa" w:w="4680"/>
            <w:tcMar>
              <w:top w:type="dxa" w:w="60"/>
              <w:left w:type="dxa" w:w="100"/>
              <w:bottom w:type="dxa" w:w="60"/>
              <w:right w:type="dxa" w:w="100"/>
            </w:tcMar>
          </w:tcPr>
          <w:p>
            <w:r>
              <w:rPr>
                <w:b w:val="false"/>
                <w:bCs w:val="false"/>
                <w:sz w:val="20"/>
                <w:szCs w:val="20"/>
              </w:rPr>
              <w:t xml:space="preserve">Revisiones cortas de 15-20 min, feedback documentado</w:t>
            </w:r>
          </w:p>
        </w:tc>
      </w:tr>
      <w:tr>
        <w:tc>
          <w:tcPr>
            <w:tcW w:type="dxa" w:w="4680"/>
            <w:tcMar>
              <w:top w:type="dxa" w:w="60"/>
              <w:left w:type="dxa" w:w="100"/>
              <w:bottom w:type="dxa" w:w="60"/>
              <w:right w:type="dxa" w:w="100"/>
            </w:tcMar>
          </w:tcPr>
          <w:p>
            <w:r>
              <w:rPr>
                <w:b w:val="false"/>
                <w:bCs w:val="false"/>
                <w:sz w:val="20"/>
                <w:szCs w:val="20"/>
              </w:rPr>
              <w:t xml:space="preserve">Equipo estudiantil con poca experiencia real en Scrum</w:t>
            </w:r>
          </w:p>
        </w:tc>
        <w:tc>
          <w:tcPr>
            <w:tcW w:type="dxa" w:w="4680"/>
            <w:tcMar>
              <w:top w:type="dxa" w:w="60"/>
              <w:left w:type="dxa" w:w="100"/>
              <w:bottom w:type="dxa" w:w="60"/>
              <w:right w:type="dxa" w:w="100"/>
            </w:tcMar>
          </w:tcPr>
          <w:p>
            <w:r>
              <w:rPr>
                <w:b w:val="false"/>
                <w:bCs w:val="false"/>
                <w:sz w:val="20"/>
                <w:szCs w:val="20"/>
              </w:rPr>
              <w:t xml:space="preserve">Seguir explícitamente roles y ceremonias, auditando el proceso en cada retrospectiva</w:t>
            </w:r>
          </w:p>
        </w:tc>
      </w:tr>
    </w:tbl>
    <w:p>
      <w:pPr>
        <w:spacing w:after="100"/>
      </w:pPr>
    </w:p>
    <w:p>
      <w:pPr>
        <w:pStyle w:val="Heading2"/>
        <w:spacing w:after="120" w:before="250"/>
      </w:pPr>
      <w:r>
        <w:t xml:space="preserve">D. Reflexión y trazabilidad</w:t>
      </w:r>
    </w:p>
    <w:p>
      <w:pPr>
        <w:spacing w:after="150"/>
      </w:pPr>
      <w:r>
        <w:rPr>
          <w:b/>
          <w:bCs/>
        </w:rPr>
        <w:t xml:space="preserve">¿Qué aprendimos? </w:t>
      </w:r>
    </w:p>
    <w:p>
      <w:pPr>
        <w:spacing w:after="150"/>
      </w:pPr>
      <w:r>
        <w:t xml:space="preserve">Que la elección del ciclo de vida depende de variables concretas: claridad de requisitos, criticidad, participación del stakeholder, tamaño del equipo y tolerancia al cambio.</w:t>
      </w:r>
    </w:p>
    <w:p>
      <w:pPr>
        <w:spacing w:after="150"/>
      </w:pPr>
      <w:r>
        <w:rPr>
          <w:b/>
          <w:bCs/>
        </w:rPr>
        <w:t xml:space="preserve">¿Cómo se aplica al proyecto? </w:t>
      </w:r>
    </w:p>
    <w:p>
      <w:pPr>
        <w:spacing w:after="150"/>
      </w:pPr>
      <w:r>
        <w:t xml:space="preserve">El equipo trabajará en sprints cortos, con entregas incrementales y retroalimentación constante de la dueña de Boutique El Manantial.</w:t>
      </w:r>
    </w:p>
    <w:p>
      <w:pPr>
        <w:spacing w:after="150"/>
      </w:pPr>
      <w:r>
        <w:rPr>
          <w:b/>
          <w:bCs/>
        </w:rPr>
        <w:t xml:space="preserve">Próximo paso: </w:t>
      </w:r>
    </w:p>
    <w:p>
      <w:pPr>
        <w:spacing w:after="150"/>
      </w:pPr>
      <w:r>
        <w:t xml:space="preserve">formalizar el marco Scrum (roles, eventos, backlog inicial) en la FPI-03.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2026-10-05T02:25:21.689Z</dcterms:created>
  <dcterms:modified xsi:type="dcterms:W3CDTF">2026-10-05T02:25:21.698Z</dcterms:modified>
</cp:coreProperties>
</file>

<file path=docProps/custom.xml><?xml version="1.0" encoding="utf-8"?>
<Properties xmlns="http://schemas.openxmlformats.org/officeDocument/2006/custom-properties" xmlns:vt="http://schemas.openxmlformats.org/officeDocument/2006/docPropsVTypes"/>
</file>