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Guía 5 — Elicitación y Catálogo Inicial de Requisitos</w:t>
      </w:r>
    </w:p>
    <w:p>
      <w:pPr>
        <w:spacing w:after="300"/>
      </w:pPr>
      <w:r>
        <w:rPr>
          <w:i/>
          <w:iCs/>
          <w:color w:val="555555"/>
        </w:rPr>
        <w:t xml:space="preserve">Proyecto integrador: StockCentral (Boutique El Manantial) — Taller resuelto y FPI-05</w:t>
      </w:r>
    </w:p>
    <w:p>
      <w:pPr>
        <w:pStyle w:val="Heading1"/>
        <w:spacing w:after="150" w:before="300"/>
      </w:pPr>
      <w:r>
        <w:t xml:space="preserve">Taller</w:t>
      </w:r>
    </w:p>
    <w:p>
      <w:pPr>
        <w:pStyle w:val="Heading2"/>
        <w:spacing w:after="120" w:before="250"/>
      </w:pPr>
      <w:r>
        <w:t xml:space="preserve">Ejercicio 1 — RF vs RNF (máx. 100 palabras)</w:t>
      </w:r>
    </w:p>
    <w:p>
      <w:pPr>
        <w:pBdr>
          <w:left w:val="single" w:color="888888" w:sz="12" w:space="8"/>
        </w:pBdr>
        <w:spacing w:after="150"/>
        <w:ind w:left="400"/>
      </w:pPr>
      <w:r>
        <w:rPr>
          <w:i/>
          <w:iCs/>
        </w:rPr>
        <w:t xml:space="preserve">Un requisito funcional (RF) describe qué debe hacer el sistema: p.ej. "el sistema debe permitir registrar un producto con nombre, precio y stock". Un requisito no funcional (RNF) describe cómo debe comportarse mientras lo hace, con una métrica cuantificable: p.ej. "el registro debe completarse en menos de 2 segundos". El RF sin el RNF puede cumplirse técnicamente pero resultar en un sistema lento, inseguro o poco confiable.</w:t>
      </w:r>
    </w:p>
    <w:p>
      <w:pPr>
        <w:pStyle w:val="Heading2"/>
        <w:spacing w:after="120" w:before="250"/>
      </w:pPr>
      <w:r>
        <w:t xml:space="preserve">Ejercicio 2 — Reescritura verificable</w:t>
      </w:r>
    </w:p>
    <w:p>
      <w:pPr>
        <w:pStyle w:val="ListParagraph"/>
        <w:numPr>
          <w:ilvl w:val="0"/>
          <w:numId w:val="1"/>
        </w:numPr>
        <w:spacing w:after="80"/>
      </w:pPr>
      <w:r>
        <w:t xml:space="preserve">(a) "el sistema debe ser rápido" → "debe procesar el registro de una venta en menos de 1 segundo bajo uso normal."</w:t>
      </w:r>
    </w:p>
    <w:p>
      <w:pPr>
        <w:pStyle w:val="ListParagraph"/>
        <w:numPr>
          <w:ilvl w:val="0"/>
          <w:numId w:val="1"/>
        </w:numPr>
        <w:spacing w:after="80"/>
      </w:pPr>
      <w:r>
        <w:t xml:space="preserve">(b) "la interfaz debe ser amigable" → "el registro de una venta debe completarse en máximo 3 clics."</w:t>
      </w:r>
    </w:p>
    <w:p>
      <w:pPr>
        <w:pStyle w:val="ListParagraph"/>
        <w:numPr>
          <w:ilvl w:val="0"/>
          <w:numId w:val="1"/>
        </w:numPr>
        <w:spacing w:after="80"/>
      </w:pPr>
      <w:r>
        <w:t xml:space="preserve">(c) "el sistema debe ser seguro" → "el acceso al dashboard debe requerir usuario y contraseña cifrada."</w:t>
      </w:r>
    </w:p>
    <w:p>
      <w:pPr>
        <w:pStyle w:val="Heading2"/>
        <w:spacing w:after="120" w:before="250"/>
      </w:pPr>
      <w:r>
        <w:t xml:space="preserve">Ejercicio 3 — Restaurante ficticio</w:t>
      </w:r>
    </w:p>
    <w:p>
      <w:pPr>
        <w:pStyle w:val="ListParagraph"/>
        <w:numPr>
          <w:ilvl w:val="0"/>
          <w:numId w:val="1"/>
        </w:numPr>
        <w:spacing w:after="80"/>
      </w:pPr>
      <w:r>
        <w:t xml:space="preserve">RF1: El sistema debe permitir al mesero registrar una orden asociándola a una mesa específica.</w:t>
      </w:r>
    </w:p>
    <w:p>
      <w:pPr>
        <w:pStyle w:val="ListParagraph"/>
        <w:numPr>
          <w:ilvl w:val="0"/>
          <w:numId w:val="1"/>
        </w:numPr>
        <w:spacing w:after="80"/>
      </w:pPr>
      <w:r>
        <w:t xml:space="preserve">RF2: El sistema debe generar el recibo de la cuenta con el total a pagar por mesa.</w:t>
      </w:r>
    </w:p>
    <w:p>
      <w:pPr>
        <w:pStyle w:val="ListParagraph"/>
        <w:numPr>
          <w:ilvl w:val="0"/>
          <w:numId w:val="1"/>
        </w:numPr>
        <w:spacing w:after="80"/>
      </w:pPr>
      <w:r>
        <w:t xml:space="preserve">RNF1 (rendimiento): registrar una orden nueva en menos de 1 segundo.</w:t>
      </w:r>
    </w:p>
    <w:p>
      <w:pPr>
        <w:pStyle w:val="ListParagraph"/>
        <w:numPr>
          <w:ilvl w:val="0"/>
          <w:numId w:val="1"/>
        </w:numPr>
        <w:spacing w:after="80"/>
      </w:pPr>
      <w:r>
        <w:t xml:space="preserve">RNF2 (disponibilidad): disponible el 99% del tiempo en horario de atención (11am-10pm).</w:t>
      </w:r>
    </w:p>
    <w:p>
      <w:pPr>
        <w:pStyle w:val="ListParagraph"/>
        <w:numPr>
          <w:ilvl w:val="0"/>
          <w:numId w:val="1"/>
        </w:numPr>
        <w:spacing w:after="80"/>
      </w:pPr>
      <w:r>
        <w:t xml:space="preserve">Restricción: debe operar en tablet con wifi local, sin depender de internet externo.</w:t>
      </w:r>
    </w:p>
    <w:p>
      <w:pPr>
        <w:pStyle w:val="Heading2"/>
        <w:spacing w:after="120" w:before="250"/>
      </w:pPr>
      <w:r>
        <w:t xml:space="preserve">Ejercicio 4 — Caso real de fallo por RNF/restricción ignorada</w:t>
      </w:r>
    </w:p>
    <w:p>
      <w:pPr>
        <w:pBdr>
          <w:left w:val="single" w:color="888888" w:sz="12" w:space="8"/>
        </w:pBdr>
        <w:spacing w:after="150"/>
        <w:ind w:left="400"/>
      </w:pPr>
      <w:r>
        <w:rPr>
          <w:i/>
          <w:iCs/>
        </w:rPr>
        <w:t xml:space="preserve">El colapso inicial de HealthCare.gov (2013): el sistema cumplía funcionalmente con inscribir personas en seguros, pero ignoró el RNF de rendimiento bajo carga, provocando una caída total el primer día.</w:t>
      </w:r>
    </w:p>
    <w:p>
      <w:pPr>
        <w:pStyle w:val="Heading2"/>
        <w:spacing w:after="120" w:before="250"/>
      </w:pPr>
      <w:r>
        <w:t xml:space="preserve">Ejercicio 5 — Auditoría a la IA</w:t>
      </w:r>
    </w:p>
    <w:p>
      <w:pPr>
        <w:spacing w:after="150"/>
      </w:pPr>
      <w:r>
        <w:t xml:space="preserve">Documenta tu prompt y respuesta reales. Verifica si el RNF propuesto por la IA incluye métrica cuantificable o cae en adjetivos vagos ("debe ser eficiente"); corrígelo si es necesario.</w:t>
      </w:r>
    </w:p>
    <w:p>
      <w:pPr>
        <w:pStyle w:val="Heading1"/>
        <w:spacing w:after="150" w:before="300"/>
      </w:pPr>
      <w:r>
        <w:t xml:space="preserve">Foro de reflexión (borrador, 250–300 palabras)</w:t>
      </w:r>
    </w:p>
    <w:p>
      <w:pPr>
        <w:pBdr>
          <w:left w:val="single" w:color="888888" w:sz="12" w:space="8"/>
        </w:pBdr>
        <w:spacing w:after="150"/>
        <w:ind w:left="400"/>
      </w:pPr>
      <w:r>
        <w:rPr>
          <w:i/>
          <w:iCs/>
        </w:rPr>
        <w:t xml:space="preserve">Un catálogo que cumple el 100% de sus RF pero ignora los RNF puede ser un fracaso rotundo porque los RNF determinan si el sistema realmente se puede usar en condiciones reales, no solo en una demo controlada.</w:t>
      </w:r>
    </w:p>
    <w:p>
      <w:pPr>
        <w:pBdr>
          <w:left w:val="single" w:color="888888" w:sz="12" w:space="8"/>
        </w:pBdr>
        <w:spacing w:after="150"/>
        <w:ind w:left="400"/>
      </w:pPr>
      <w:r>
        <w:rPr>
          <w:i/>
          <w:iCs/>
        </w:rPr>
        <w:t xml:space="preserve">El equipo debió anticipar y negociar estas restricciones antes de programar preguntando explícitamente cuántas personas usarán el sistema a la vez, qué tan rápido necesita responder, y qué pasa si no hay internet.</w:t>
      </w:r>
    </w:p>
    <w:p>
      <w:pPr>
        <w:pBdr>
          <w:left w:val="single" w:color="888888" w:sz="12" w:space="8"/>
        </w:pBdr>
        <w:spacing w:after="150"/>
        <w:ind w:left="400"/>
      </w:pPr>
      <w:r>
        <w:rPr>
          <w:i/>
          <w:iCs/>
        </w:rPr>
        <w:t xml:space="preserve">En StockCentral, si no hubiéramos definido que el registro de venta debe completarse en menos de 1 segundo, podríamos construir una función correcta pero demasiado lenta para el ritmo real de atención, llevando al empleado a volver al cuaderno.</w:t>
      </w:r>
    </w:p>
    <w:p>
      <w:pPr>
        <w:spacing w:after="100"/>
      </w:pPr>
    </w:p>
    <w:p>
      <w:pPr>
        <w:pStyle w:val="Heading1"/>
        <w:spacing w:after="150" w:before="300"/>
      </w:pPr>
      <w:r>
        <w:t xml:space="preserve">Cuestionario — respuestas correctas</w:t>
      </w:r>
    </w:p>
    <w:p>
      <w:pPr>
        <w:spacing w:after="150"/>
      </w:pPr>
      <w:r>
        <w:t xml:space="preserve">1. B  ·  2. B  ·  3. B  ·  4. B  ·  5. B  ·  6. B  ·  7. B</w:t>
      </w:r>
    </w:p>
    <w:p>
      <w:pPr>
        <w:pStyle w:val="Heading1"/>
        <w:spacing w:after="150" w:before="300"/>
      </w:pPr>
      <w:r>
        <w:t xml:space="preserve">FPI-05 — Ficha diligenciada</w:t>
      </w:r>
    </w:p>
    <w:p>
      <w:pPr>
        <w:spacing w:after="150"/>
      </w:pPr>
      <w:r>
        <w:rPr>
          <w:b/>
          <w:bCs/>
        </w:rPr>
        <w:t xml:space="preserve">Recuperado de FPI-04: </w:t>
      </w:r>
    </w:p>
    <w:p>
      <w:pPr>
        <w:spacing w:after="150"/>
      </w:pPr>
      <w:r>
        <w:t xml:space="preserve">Stakeholders y contexto de StockCentral ya delimitados. Sin cambios.</w:t>
      </w:r>
    </w:p>
    <w:p>
      <w:pPr>
        <w:pStyle w:val="Heading2"/>
        <w:spacing w:after="120" w:before="250"/>
      </w:pPr>
      <w:r>
        <w:t xml:space="preserve">1. Requisitos funcionales (mínimo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500"/>
        <w:gridCol w:w="3160"/>
      </w:tblGrid>
      <w:tr>
        <w:tc>
          <w:tcPr>
            <w:tcW w:type="dxa" w:w="1200"/>
            <w:shd w:fill="D9E2F3" w:val="clear"/>
            <w:tcMar>
              <w:top w:type="dxa" w:w="60"/>
              <w:left w:type="dxa" w:w="100"/>
              <w:bottom w:type="dxa" w:w="60"/>
              <w:right w:type="dxa" w:w="100"/>
            </w:tcMar>
          </w:tcPr>
          <w:p>
            <w:r>
              <w:rPr>
                <w:b/>
                <w:bCs/>
                <w:sz w:val="20"/>
                <w:szCs w:val="20"/>
              </w:rPr>
              <w:t xml:space="preserve">Código</w:t>
            </w:r>
          </w:p>
        </w:tc>
        <w:tc>
          <w:tcPr>
            <w:tcW w:type="dxa" w:w="3500"/>
            <w:shd w:fill="D9E2F3" w:val="clear"/>
            <w:tcMar>
              <w:top w:type="dxa" w:w="60"/>
              <w:left w:type="dxa" w:w="100"/>
              <w:bottom w:type="dxa" w:w="60"/>
              <w:right w:type="dxa" w:w="100"/>
            </w:tcMar>
          </w:tcPr>
          <w:p>
            <w:r>
              <w:rPr>
                <w:b/>
                <w:bCs/>
                <w:sz w:val="20"/>
                <w:szCs w:val="20"/>
              </w:rPr>
              <w:t xml:space="preserve">Descripción</w:t>
            </w:r>
          </w:p>
        </w:tc>
        <w:tc>
          <w:tcPr>
            <w:tcW w:type="dxa" w:w="1500"/>
            <w:shd w:fill="D9E2F3" w:val="clear"/>
            <w:tcMar>
              <w:top w:type="dxa" w:w="60"/>
              <w:left w:type="dxa" w:w="100"/>
              <w:bottom w:type="dxa" w:w="60"/>
              <w:right w:type="dxa" w:w="100"/>
            </w:tcMar>
          </w:tcPr>
          <w:p>
            <w:r>
              <w:rPr>
                <w:b/>
                <w:bCs/>
                <w:sz w:val="20"/>
                <w:szCs w:val="20"/>
              </w:rPr>
              <w:t xml:space="preserve">Origen</w:t>
            </w:r>
          </w:p>
        </w:tc>
        <w:tc>
          <w:tcPr>
            <w:tcW w:type="dxa" w:w="3160"/>
            <w:shd w:fill="D9E2F3" w:val="clear"/>
            <w:tcMar>
              <w:top w:type="dxa" w:w="60"/>
              <w:left w:type="dxa" w:w="100"/>
              <w:bottom w:type="dxa" w:w="60"/>
              <w:right w:type="dxa" w:w="100"/>
            </w:tcMar>
          </w:tcPr>
          <w:p>
            <w:r>
              <w:rPr>
                <w:b/>
                <w:bCs/>
                <w:sz w:val="20"/>
                <w:szCs w:val="20"/>
              </w:rPr>
              <w:t xml:space="preserve">Criterio de validación</w:t>
            </w:r>
          </w:p>
        </w:tc>
      </w:tr>
      <w:tr>
        <w:tc>
          <w:tcPr>
            <w:tcW w:type="dxa" w:w="1200"/>
            <w:tcMar>
              <w:top w:type="dxa" w:w="60"/>
              <w:left w:type="dxa" w:w="100"/>
              <w:bottom w:type="dxa" w:w="60"/>
              <w:right w:type="dxa" w:w="100"/>
            </w:tcMar>
          </w:tcPr>
          <w:p>
            <w:r>
              <w:rPr>
                <w:b w:val="false"/>
                <w:bCs w:val="false"/>
                <w:sz w:val="20"/>
                <w:szCs w:val="20"/>
              </w:rPr>
              <w:t xml:space="preserve">RF-01</w:t>
            </w:r>
          </w:p>
        </w:tc>
        <w:tc>
          <w:tcPr>
            <w:tcW w:type="dxa" w:w="3500"/>
            <w:tcMar>
              <w:top w:type="dxa" w:w="60"/>
              <w:left w:type="dxa" w:w="100"/>
              <w:bottom w:type="dxa" w:w="60"/>
              <w:right w:type="dxa" w:w="100"/>
            </w:tcMar>
          </w:tcPr>
          <w:p>
            <w:r>
              <w:rPr>
                <w:b w:val="false"/>
                <w:bCs w:val="false"/>
                <w:sz w:val="20"/>
                <w:szCs w:val="20"/>
              </w:rPr>
              <w:t xml:space="preserve">El sistema debe permitir a la dueña registrar un producto nuevo con nombre, precio, stock inicial y categoría.</w:t>
            </w:r>
          </w:p>
        </w:tc>
        <w:tc>
          <w:tcPr>
            <w:tcW w:type="dxa" w:w="1500"/>
            <w:tcMar>
              <w:top w:type="dxa" w:w="60"/>
              <w:left w:type="dxa" w:w="100"/>
              <w:bottom w:type="dxa" w:w="60"/>
              <w:right w:type="dxa" w:w="100"/>
            </w:tcMar>
          </w:tcPr>
          <w:p>
            <w:r>
              <w:rPr>
                <w:b w:val="false"/>
                <w:bCs w:val="false"/>
                <w:sz w:val="20"/>
                <w:szCs w:val="20"/>
              </w:rPr>
              <w:t xml:space="preserve">Dueña</w:t>
            </w:r>
          </w:p>
        </w:tc>
        <w:tc>
          <w:tcPr>
            <w:tcW w:type="dxa" w:w="3160"/>
            <w:tcMar>
              <w:top w:type="dxa" w:w="60"/>
              <w:left w:type="dxa" w:w="100"/>
              <w:bottom w:type="dxa" w:w="60"/>
              <w:right w:type="dxa" w:w="100"/>
            </w:tcMar>
          </w:tcPr>
          <w:p>
            <w:r>
              <w:rPr>
                <w:b w:val="false"/>
                <w:bCs w:val="false"/>
                <w:sz w:val="20"/>
                <w:szCs w:val="20"/>
              </w:rPr>
              <w:t xml:space="preserve">Producto visible en la lista tras guardarlo</w:t>
            </w:r>
          </w:p>
        </w:tc>
      </w:tr>
      <w:tr>
        <w:tc>
          <w:tcPr>
            <w:tcW w:type="dxa" w:w="1200"/>
            <w:tcMar>
              <w:top w:type="dxa" w:w="60"/>
              <w:left w:type="dxa" w:w="100"/>
              <w:bottom w:type="dxa" w:w="60"/>
              <w:right w:type="dxa" w:w="100"/>
            </w:tcMar>
          </w:tcPr>
          <w:p>
            <w:r>
              <w:rPr>
                <w:b w:val="false"/>
                <w:bCs w:val="false"/>
                <w:sz w:val="20"/>
                <w:szCs w:val="20"/>
              </w:rPr>
              <w:t xml:space="preserve">RF-02</w:t>
            </w:r>
          </w:p>
        </w:tc>
        <w:tc>
          <w:tcPr>
            <w:tcW w:type="dxa" w:w="3500"/>
            <w:tcMar>
              <w:top w:type="dxa" w:w="60"/>
              <w:left w:type="dxa" w:w="100"/>
              <w:bottom w:type="dxa" w:w="60"/>
              <w:right w:type="dxa" w:w="100"/>
            </w:tcMar>
          </w:tcPr>
          <w:p>
            <w:r>
              <w:rPr>
                <w:b w:val="false"/>
                <w:bCs w:val="false"/>
                <w:sz w:val="20"/>
                <w:szCs w:val="20"/>
              </w:rPr>
              <w:t xml:space="preserve">El sistema debe permitir al empleado registrar una venta descontando automáticamente el stock.</w:t>
            </w:r>
          </w:p>
        </w:tc>
        <w:tc>
          <w:tcPr>
            <w:tcW w:type="dxa" w:w="1500"/>
            <w:tcMar>
              <w:top w:type="dxa" w:w="60"/>
              <w:left w:type="dxa" w:w="100"/>
              <w:bottom w:type="dxa" w:w="60"/>
              <w:right w:type="dxa" w:w="100"/>
            </w:tcMar>
          </w:tcPr>
          <w:p>
            <w:r>
              <w:rPr>
                <w:b w:val="false"/>
                <w:bCs w:val="false"/>
                <w:sz w:val="20"/>
                <w:szCs w:val="20"/>
              </w:rPr>
              <w:t xml:space="preserve">Empleado</w:t>
            </w:r>
          </w:p>
        </w:tc>
        <w:tc>
          <w:tcPr>
            <w:tcW w:type="dxa" w:w="3160"/>
            <w:tcMar>
              <w:top w:type="dxa" w:w="60"/>
              <w:left w:type="dxa" w:w="100"/>
              <w:bottom w:type="dxa" w:w="60"/>
              <w:right w:type="dxa" w:w="100"/>
            </w:tcMar>
          </w:tcPr>
          <w:p>
            <w:r>
              <w:rPr>
                <w:b w:val="false"/>
                <w:bCs w:val="false"/>
                <w:sz w:val="20"/>
                <w:szCs w:val="20"/>
              </w:rPr>
              <w:t xml:space="preserve">Stock se reduce en la cantidad exacta vendida</w:t>
            </w:r>
          </w:p>
        </w:tc>
      </w:tr>
      <w:tr>
        <w:tc>
          <w:tcPr>
            <w:tcW w:type="dxa" w:w="1200"/>
            <w:tcMar>
              <w:top w:type="dxa" w:w="60"/>
              <w:left w:type="dxa" w:w="100"/>
              <w:bottom w:type="dxa" w:w="60"/>
              <w:right w:type="dxa" w:w="100"/>
            </w:tcMar>
          </w:tcPr>
          <w:p>
            <w:r>
              <w:rPr>
                <w:b w:val="false"/>
                <w:bCs w:val="false"/>
                <w:sz w:val="20"/>
                <w:szCs w:val="20"/>
              </w:rPr>
              <w:t xml:space="preserve">RF-03</w:t>
            </w:r>
          </w:p>
        </w:tc>
        <w:tc>
          <w:tcPr>
            <w:tcW w:type="dxa" w:w="3500"/>
            <w:tcMar>
              <w:top w:type="dxa" w:w="60"/>
              <w:left w:type="dxa" w:w="100"/>
              <w:bottom w:type="dxa" w:w="60"/>
              <w:right w:type="dxa" w:w="100"/>
            </w:tcMar>
          </w:tcPr>
          <w:p>
            <w:r>
              <w:rPr>
                <w:b w:val="false"/>
                <w:bCs w:val="false"/>
                <w:sz w:val="20"/>
                <w:szCs w:val="20"/>
              </w:rPr>
              <w:t xml:space="preserve">El sistema debe mostrar en el dashboard el número de productos con stock bajo un umbral configurable.</w:t>
            </w:r>
          </w:p>
        </w:tc>
        <w:tc>
          <w:tcPr>
            <w:tcW w:type="dxa" w:w="1500"/>
            <w:tcMar>
              <w:top w:type="dxa" w:w="60"/>
              <w:left w:type="dxa" w:w="100"/>
              <w:bottom w:type="dxa" w:w="60"/>
              <w:right w:type="dxa" w:w="100"/>
            </w:tcMar>
          </w:tcPr>
          <w:p>
            <w:r>
              <w:rPr>
                <w:b w:val="false"/>
                <w:bCs w:val="false"/>
                <w:sz w:val="20"/>
                <w:szCs w:val="20"/>
              </w:rPr>
              <w:t xml:space="preserve">Dueña</w:t>
            </w:r>
          </w:p>
        </w:tc>
        <w:tc>
          <w:tcPr>
            <w:tcW w:type="dxa" w:w="3160"/>
            <w:tcMar>
              <w:top w:type="dxa" w:w="60"/>
              <w:left w:type="dxa" w:w="100"/>
              <w:bottom w:type="dxa" w:w="60"/>
              <w:right w:type="dxa" w:w="100"/>
            </w:tcMar>
          </w:tcPr>
          <w:p>
            <w:r>
              <w:rPr>
                <w:b w:val="false"/>
                <w:bCs w:val="false"/>
                <w:sz w:val="20"/>
                <w:szCs w:val="20"/>
              </w:rPr>
              <w:t xml:space="preserve">El conteo coincide con los productos reales bajo el umbral</w:t>
            </w:r>
          </w:p>
        </w:tc>
      </w:tr>
    </w:tbl>
    <w:p>
      <w:pPr>
        <w:spacing w:after="100"/>
      </w:pPr>
    </w:p>
    <w:p>
      <w:pPr>
        <w:pStyle w:val="Heading2"/>
        <w:spacing w:after="120" w:before="250"/>
      </w:pPr>
      <w:r>
        <w:t xml:space="preserve">2. Requisitos no funcionales (mínimo 2, con métrica)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500"/>
        <w:gridCol w:w="3160"/>
      </w:tblGrid>
      <w:tr>
        <w:tc>
          <w:tcPr>
            <w:tcW w:type="dxa" w:w="1200"/>
            <w:shd w:fill="D9E2F3" w:val="clear"/>
            <w:tcMar>
              <w:top w:type="dxa" w:w="60"/>
              <w:left w:type="dxa" w:w="100"/>
              <w:bottom w:type="dxa" w:w="60"/>
              <w:right w:type="dxa" w:w="100"/>
            </w:tcMar>
          </w:tcPr>
          <w:p>
            <w:r>
              <w:rPr>
                <w:b/>
                <w:bCs/>
                <w:sz w:val="20"/>
                <w:szCs w:val="20"/>
              </w:rPr>
              <w:t xml:space="preserve">Código</w:t>
            </w:r>
          </w:p>
        </w:tc>
        <w:tc>
          <w:tcPr>
            <w:tcW w:type="dxa" w:w="3500"/>
            <w:shd w:fill="D9E2F3" w:val="clear"/>
            <w:tcMar>
              <w:top w:type="dxa" w:w="60"/>
              <w:left w:type="dxa" w:w="100"/>
              <w:bottom w:type="dxa" w:w="60"/>
              <w:right w:type="dxa" w:w="100"/>
            </w:tcMar>
          </w:tcPr>
          <w:p>
            <w:r>
              <w:rPr>
                <w:b/>
                <w:bCs/>
                <w:sz w:val="20"/>
                <w:szCs w:val="20"/>
              </w:rPr>
              <w:t xml:space="preserve">Descripción</w:t>
            </w:r>
          </w:p>
        </w:tc>
        <w:tc>
          <w:tcPr>
            <w:tcW w:type="dxa" w:w="1500"/>
            <w:shd w:fill="D9E2F3" w:val="clear"/>
            <w:tcMar>
              <w:top w:type="dxa" w:w="60"/>
              <w:left w:type="dxa" w:w="100"/>
              <w:bottom w:type="dxa" w:w="60"/>
              <w:right w:type="dxa" w:w="100"/>
            </w:tcMar>
          </w:tcPr>
          <w:p>
            <w:r>
              <w:rPr>
                <w:b/>
                <w:bCs/>
                <w:sz w:val="20"/>
                <w:szCs w:val="20"/>
              </w:rPr>
              <w:t xml:space="preserve">Origen</w:t>
            </w:r>
          </w:p>
        </w:tc>
        <w:tc>
          <w:tcPr>
            <w:tcW w:type="dxa" w:w="3160"/>
            <w:shd w:fill="D9E2F3" w:val="clear"/>
            <w:tcMar>
              <w:top w:type="dxa" w:w="60"/>
              <w:left w:type="dxa" w:w="100"/>
              <w:bottom w:type="dxa" w:w="60"/>
              <w:right w:type="dxa" w:w="100"/>
            </w:tcMar>
          </w:tcPr>
          <w:p>
            <w:r>
              <w:rPr>
                <w:b/>
                <w:bCs/>
                <w:sz w:val="20"/>
                <w:szCs w:val="20"/>
              </w:rPr>
              <w:t xml:space="preserve">Criterio de validación</w:t>
            </w:r>
          </w:p>
        </w:tc>
      </w:tr>
      <w:tr>
        <w:tc>
          <w:tcPr>
            <w:tcW w:type="dxa" w:w="1200"/>
            <w:tcMar>
              <w:top w:type="dxa" w:w="60"/>
              <w:left w:type="dxa" w:w="100"/>
              <w:bottom w:type="dxa" w:w="60"/>
              <w:right w:type="dxa" w:w="100"/>
            </w:tcMar>
          </w:tcPr>
          <w:p>
            <w:r>
              <w:rPr>
                <w:b w:val="false"/>
                <w:bCs w:val="false"/>
                <w:sz w:val="20"/>
                <w:szCs w:val="20"/>
              </w:rPr>
              <w:t xml:space="preserve">RNF-01</w:t>
            </w:r>
          </w:p>
        </w:tc>
        <w:tc>
          <w:tcPr>
            <w:tcW w:type="dxa" w:w="3500"/>
            <w:tcMar>
              <w:top w:type="dxa" w:w="60"/>
              <w:left w:type="dxa" w:w="100"/>
              <w:bottom w:type="dxa" w:w="60"/>
              <w:right w:type="dxa" w:w="100"/>
            </w:tcMar>
          </w:tcPr>
          <w:p>
            <w:r>
              <w:rPr>
                <w:b w:val="false"/>
                <w:bCs w:val="false"/>
                <w:sz w:val="20"/>
                <w:szCs w:val="20"/>
              </w:rPr>
              <w:t xml:space="preserve">El registro de una venta debe completarse en menos de 1.5 segundos.</w:t>
            </w:r>
          </w:p>
        </w:tc>
        <w:tc>
          <w:tcPr>
            <w:tcW w:type="dxa" w:w="1500"/>
            <w:tcMar>
              <w:top w:type="dxa" w:w="60"/>
              <w:left w:type="dxa" w:w="100"/>
              <w:bottom w:type="dxa" w:w="60"/>
              <w:right w:type="dxa" w:w="100"/>
            </w:tcMar>
          </w:tcPr>
          <w:p>
            <w:r>
              <w:rPr>
                <w:b w:val="false"/>
                <w:bCs w:val="false"/>
                <w:sz w:val="20"/>
                <w:szCs w:val="20"/>
              </w:rPr>
              <w:t xml:space="preserve">Empleado</w:t>
            </w:r>
          </w:p>
        </w:tc>
        <w:tc>
          <w:tcPr>
            <w:tcW w:type="dxa" w:w="3160"/>
            <w:tcMar>
              <w:top w:type="dxa" w:w="60"/>
              <w:left w:type="dxa" w:w="100"/>
              <w:bottom w:type="dxa" w:w="60"/>
              <w:right w:type="dxa" w:w="100"/>
            </w:tcMar>
          </w:tcPr>
          <w:p>
            <w:r>
              <w:rPr>
                <w:b w:val="false"/>
                <w:bCs w:val="false"/>
                <w:sz w:val="20"/>
                <w:szCs w:val="20"/>
              </w:rPr>
              <w:t xml:space="preserve">Medición con carga normal de uso</w:t>
            </w:r>
          </w:p>
        </w:tc>
      </w:tr>
      <w:tr>
        <w:tc>
          <w:tcPr>
            <w:tcW w:type="dxa" w:w="1200"/>
            <w:tcMar>
              <w:top w:type="dxa" w:w="60"/>
              <w:left w:type="dxa" w:w="100"/>
              <w:bottom w:type="dxa" w:w="60"/>
              <w:right w:type="dxa" w:w="100"/>
            </w:tcMar>
          </w:tcPr>
          <w:p>
            <w:r>
              <w:rPr>
                <w:b w:val="false"/>
                <w:bCs w:val="false"/>
                <w:sz w:val="20"/>
                <w:szCs w:val="20"/>
              </w:rPr>
              <w:t xml:space="preserve">RNF-02</w:t>
            </w:r>
          </w:p>
        </w:tc>
        <w:tc>
          <w:tcPr>
            <w:tcW w:type="dxa" w:w="3500"/>
            <w:tcMar>
              <w:top w:type="dxa" w:w="60"/>
              <w:left w:type="dxa" w:w="100"/>
              <w:bottom w:type="dxa" w:w="60"/>
              <w:right w:type="dxa" w:w="100"/>
            </w:tcMar>
          </w:tcPr>
          <w:p>
            <w:r>
              <w:rPr>
                <w:b w:val="false"/>
                <w:bCs w:val="false"/>
                <w:sz w:val="20"/>
                <w:szCs w:val="20"/>
              </w:rPr>
              <w:t xml:space="preserve">El acceso al dashboard debe requerir autenticación con contraseña cifrada.</w:t>
            </w:r>
          </w:p>
        </w:tc>
        <w:tc>
          <w:tcPr>
            <w:tcW w:type="dxa" w:w="1500"/>
            <w:tcMar>
              <w:top w:type="dxa" w:w="60"/>
              <w:left w:type="dxa" w:w="100"/>
              <w:bottom w:type="dxa" w:w="60"/>
              <w:right w:type="dxa" w:w="100"/>
            </w:tcMar>
          </w:tcPr>
          <w:p>
            <w:r>
              <w:rPr>
                <w:b w:val="false"/>
                <w:bCs w:val="false"/>
                <w:sz w:val="20"/>
                <w:szCs w:val="20"/>
              </w:rPr>
              <w:t xml:space="preserve">Dueña</w:t>
            </w:r>
          </w:p>
        </w:tc>
        <w:tc>
          <w:tcPr>
            <w:tcW w:type="dxa" w:w="3160"/>
            <w:tcMar>
              <w:top w:type="dxa" w:w="60"/>
              <w:left w:type="dxa" w:w="100"/>
              <w:bottom w:type="dxa" w:w="60"/>
              <w:right w:type="dxa" w:w="100"/>
            </w:tcMar>
          </w:tcPr>
          <w:p>
            <w:r>
              <w:rPr>
                <w:b w:val="false"/>
                <w:bCs w:val="false"/>
                <w:sz w:val="20"/>
                <w:szCs w:val="20"/>
              </w:rPr>
              <w:t xml:space="preserve">Intento sin credenciales es rechazado</w:t>
            </w:r>
          </w:p>
        </w:tc>
      </w:tr>
    </w:tbl>
    <w:p>
      <w:pPr>
        <w:spacing w:after="100"/>
      </w:pPr>
    </w:p>
    <w:p>
      <w:pPr>
        <w:pStyle w:val="Heading2"/>
        <w:spacing w:after="120" w:before="250"/>
      </w:pPr>
      <w:r>
        <w:t xml:space="preserve">3. Restricciones identificadas (mínimo 1)</w:t>
      </w:r>
    </w:p>
    <w:p>
      <w:pPr>
        <w:spacing w:after="150"/>
      </w:pPr>
      <w:r>
        <w:t xml:space="preserve">El sistema debe poder ejecutarse en el hardware disponible en la tienda (laptop básica o tablet), sin asumir infraestructura en la nube de pago, dado el presupuesto limitado de la MiPyme.</w:t>
      </w:r>
    </w:p>
    <w:p>
      <w:pPr>
        <w:pStyle w:val="Heading2"/>
        <w:spacing w:after="120" w:before="250"/>
      </w:pPr>
      <w:r>
        <w:t xml:space="preserve">4. Auditoría a la IA en la redacción del catálogo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D9E2F3" w:val="clear"/>
            <w:tcMar>
              <w:top w:type="dxa" w:w="60"/>
              <w:left w:type="dxa" w:w="100"/>
              <w:bottom w:type="dxa" w:w="60"/>
              <w:right w:type="dxa" w:w="100"/>
            </w:tcMar>
          </w:tcPr>
          <w:p>
            <w:r>
              <w:rPr>
                <w:b/>
                <w:bCs/>
                <w:sz w:val="20"/>
                <w:szCs w:val="20"/>
              </w:rPr>
              <w:t xml:space="preserve">Elemento</w:t>
            </w:r>
          </w:p>
        </w:tc>
        <w:tc>
          <w:tcPr>
            <w:tcW w:type="dxa" w:w="5960"/>
            <w:shd w:fill="D9E2F3" w:val="clear"/>
            <w:tcMar>
              <w:top w:type="dxa" w:w="60"/>
              <w:left w:type="dxa" w:w="100"/>
              <w:bottom w:type="dxa" w:w="60"/>
              <w:right w:type="dxa" w:w="100"/>
            </w:tcMar>
          </w:tcPr>
          <w:p>
            <w:r>
              <w:rPr>
                <w:b/>
                <w:bCs/>
                <w:sz w:val="20"/>
                <w:szCs w:val="20"/>
              </w:rPr>
              <w:t xml:space="preserve">Hallazgo</w:t>
            </w:r>
          </w:p>
        </w:tc>
      </w:tr>
      <w:tr>
        <w:tc>
          <w:tcPr>
            <w:tcW w:type="dxa" w:w="3400"/>
            <w:tcMar>
              <w:top w:type="dxa" w:w="60"/>
              <w:left w:type="dxa" w:w="100"/>
              <w:bottom w:type="dxa" w:w="60"/>
              <w:right w:type="dxa" w:w="100"/>
            </w:tcMar>
          </w:tcPr>
          <w:p>
            <w:r>
              <w:rPr>
                <w:b w:val="false"/>
                <w:bCs w:val="false"/>
                <w:sz w:val="20"/>
                <w:szCs w:val="20"/>
              </w:rPr>
              <w:t xml:space="preserve">¿Requisitos verificables o ambiguos?</w:t>
            </w:r>
          </w:p>
        </w:tc>
        <w:tc>
          <w:tcPr>
            <w:tcW w:type="dxa" w:w="5960"/>
            <w:tcMar>
              <w:top w:type="dxa" w:w="60"/>
              <w:left w:type="dxa" w:w="100"/>
              <w:bottom w:type="dxa" w:w="60"/>
              <w:right w:type="dxa" w:w="100"/>
            </w:tcMar>
          </w:tcPr>
          <w:p>
            <w:r>
              <w:rPr>
                <w:b w:val="false"/>
                <w:bCs w:val="false"/>
                <w:sz w:val="20"/>
                <w:szCs w:val="20"/>
              </w:rPr>
              <w:t xml:space="preserve">La IA propuso "el sistema debe ser confiable"; se corrigió con métrica de disponibilidad/tiempo</w:t>
            </w:r>
          </w:p>
        </w:tc>
      </w:tr>
      <w:tr>
        <w:tc>
          <w:tcPr>
            <w:tcW w:type="dxa" w:w="3400"/>
            <w:tcMar>
              <w:top w:type="dxa" w:w="60"/>
              <w:left w:type="dxa" w:w="100"/>
              <w:bottom w:type="dxa" w:w="60"/>
              <w:right w:type="dxa" w:w="100"/>
            </w:tcMar>
          </w:tcPr>
          <w:p>
            <w:r>
              <w:rPr>
                <w:b w:val="false"/>
                <w:bCs w:val="false"/>
                <w:sz w:val="20"/>
                <w:szCs w:val="20"/>
              </w:rPr>
              <w:t xml:space="preserve">¿Omitió restricciones reales?</w:t>
            </w:r>
          </w:p>
        </w:tc>
        <w:tc>
          <w:tcPr>
            <w:tcW w:type="dxa" w:w="5960"/>
            <w:tcMar>
              <w:top w:type="dxa" w:w="60"/>
              <w:left w:type="dxa" w:w="100"/>
              <w:bottom w:type="dxa" w:w="60"/>
              <w:right w:type="dxa" w:w="100"/>
            </w:tcMar>
          </w:tcPr>
          <w:p>
            <w:r>
              <w:rPr>
                <w:b w:val="false"/>
                <w:bCs w:val="false"/>
                <w:sz w:val="20"/>
                <w:szCs w:val="20"/>
              </w:rPr>
              <w:t xml:space="preserve">Sí, no consideró la restricción de presupuesto/infraestructura hasta dar contexto explícito</w:t>
            </w:r>
          </w:p>
        </w:tc>
      </w:tr>
    </w:tbl>
    <w:p>
      <w:pPr>
        <w:spacing w:after="100"/>
      </w:pPr>
    </w:p>
    <w:p>
      <w:pPr>
        <w:pStyle w:val="Heading2"/>
        <w:spacing w:after="120" w:before="250"/>
      </w:pPr>
      <w:r>
        <w:t xml:space="preserve">D. Reflexión</w:t>
      </w:r>
    </w:p>
    <w:p>
      <w:pPr>
        <w:spacing w:after="150"/>
      </w:pPr>
      <w:r>
        <w:t xml:space="preserve">Un RNF sin número es solo una intención, no un requisito verificable. Próximo paso: convertir este catálogo en historias de usuario con criterios Gherkin (FPI-06).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2026-10-05T02:32:13.001Z</dcterms:created>
  <dcterms:modified xsi:type="dcterms:W3CDTF">2026-10-05T02:32:13.001Z</dcterms:modified>
</cp:coreProperties>
</file>

<file path=docProps/custom.xml><?xml version="1.0" encoding="utf-8"?>
<Properties xmlns="http://schemas.openxmlformats.org/officeDocument/2006/custom-properties" xmlns:vt="http://schemas.openxmlformats.org/officeDocument/2006/docPropsVTypes"/>
</file>