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Guía 7 — Priorización de Backlog y Alcance del MVP</w:t>
      </w:r>
    </w:p>
    <w:p>
      <w:pPr>
        <w:spacing w:after="300"/>
      </w:pPr>
      <w:r>
        <w:rPr>
          <w:i/>
          <w:iCs/>
          <w:color w:val="555555"/>
        </w:rPr>
        <w:t xml:space="preserve">Proyecto integrador: StockCentral (Boutique El Manantial) — Taller resuelto y FPI-07</w:t>
      </w:r>
    </w:p>
    <w:p>
      <w:pPr>
        <w:pStyle w:val="Heading1"/>
        <w:spacing w:after="150" w:before="300"/>
      </w:pPr>
      <w:r>
        <w:t xml:space="preserve">Taller</w:t>
      </w:r>
    </w:p>
    <w:p>
      <w:pPr>
        <w:pStyle w:val="Heading2"/>
        <w:spacing w:after="120" w:before="250"/>
      </w:pPr>
      <w:r>
        <w:t xml:space="preserve">Ejercicio 1 — Must vs Should (máx. 100 palabras)</w:t>
      </w:r>
    </w:p>
    <w:p>
      <w:pPr>
        <w:pBdr>
          <w:left w:val="single" w:color="888888" w:sz="12" w:space="8"/>
        </w:pBdr>
        <w:spacing w:after="150"/>
        <w:ind w:left="400"/>
      </w:pPr>
      <w:r>
        <w:rPr>
          <w:i/>
          <w:iCs/>
        </w:rPr>
        <w:t xml:space="preserve">Must Have es indispensable: sin esa funcionalidad, el sistema no resuelve el problema central. Should Have aporta valor importante pero el sistema puede operar temporalmente sin ello — se puede posponer sin invalidar el MVP.</w:t>
      </w:r>
    </w:p>
    <w:p>
      <w:pPr>
        <w:pStyle w:val="Heading2"/>
        <w:spacing w:after="120" w:before="250"/>
      </w:pPr>
      <w:r>
        <w:t xml:space="preserve">Ejercicio 2 — Tienda de ropa ficticia (4 funcionalidades MoSCoW)</w:t>
      </w:r>
    </w:p>
    <w:p>
      <w:pPr>
        <w:pStyle w:val="ListParagraph"/>
        <w:numPr>
          <w:ilvl w:val="0"/>
          <w:numId w:val="1"/>
        </w:numPr>
        <w:spacing w:after="80"/>
      </w:pPr>
      <w:r>
        <w:t xml:space="preserve">Registrar productos → Must (sin esto no hay inventario que gestionar)</w:t>
      </w:r>
    </w:p>
    <w:p>
      <w:pPr>
        <w:pStyle w:val="ListParagraph"/>
        <w:numPr>
          <w:ilvl w:val="0"/>
          <w:numId w:val="1"/>
        </w:numPr>
        <w:spacing w:after="80"/>
      </w:pPr>
      <w:r>
        <w:t xml:space="preserve">Registrar ventas con descuento de stock → Must (núcleo del problema real)</w:t>
      </w:r>
    </w:p>
    <w:p>
      <w:pPr>
        <w:pStyle w:val="ListParagraph"/>
        <w:numPr>
          <w:ilvl w:val="0"/>
          <w:numId w:val="1"/>
        </w:numPr>
        <w:spacing w:after="80"/>
      </w:pPr>
      <w:r>
        <w:t xml:space="preserve">Dashboard con gráfico de ventas por mes → Should (aporta valor pero no es indispensable)</w:t>
      </w:r>
    </w:p>
    <w:p>
      <w:pPr>
        <w:pStyle w:val="ListParagraph"/>
        <w:numPr>
          <w:ilvl w:val="0"/>
          <w:numId w:val="1"/>
        </w:numPr>
        <w:spacing w:after="80"/>
      </w:pPr>
      <w:r>
        <w:t xml:space="preserve">Exportar reportes a Excel → Could (mejora deseable, no crítica)</w:t>
      </w:r>
    </w:p>
    <w:p>
      <w:pPr>
        <w:pStyle w:val="Heading2"/>
        <w:spacing w:after="120" w:before="250"/>
      </w:pPr>
      <w:r>
        <w:t xml:space="preserve">Ejercicio 3 — Por qué eliminar validación es deuda imprudente</w:t>
      </w:r>
    </w:p>
    <w:p>
      <w:pPr>
        <w:pBdr>
          <w:left w:val="single" w:color="888888" w:sz="12" w:space="8"/>
        </w:pBdr>
        <w:spacing w:after="150"/>
        <w:ind w:left="400"/>
      </w:pPr>
      <w:r>
        <w:rPr>
          <w:i/>
          <w:iCs/>
        </w:rPr>
        <w:t xml:space="preserve">Eliminar la validación del formulario de ventas para "lanzar más rápido" no simplifica el MVP: introduce un defecto disfrazado de ahorro de tiempo. Sin validación, un empleado podría registrar una venta con cantidad negativa, generando datos de stock incorrectos mucho más costosos de corregir después.</w:t>
      </w:r>
    </w:p>
    <w:p>
      <w:pPr>
        <w:pStyle w:val="Heading2"/>
        <w:spacing w:after="120" w:before="250"/>
      </w:pPr>
      <w:r>
        <w:t xml:space="preserve">Ejercicio 4 — Caso real de RNF sacrificado</w:t>
      </w:r>
    </w:p>
    <w:p>
      <w:pPr>
        <w:pBdr>
          <w:left w:val="single" w:color="888888" w:sz="12" w:space="8"/>
        </w:pBdr>
        <w:spacing w:after="150"/>
        <w:ind w:left="400"/>
      </w:pPr>
      <w:r>
        <w:rPr>
          <w:i/>
          <w:iCs/>
        </w:rPr>
        <w:t xml:space="preserve">Knight Capital Group (2012): lanzó una actualización de su sistema de trading sin pruebas de regresión adecuadas para "salir rápido al mercado", causando una pérdida de 440 millones de dólares en 45 minutos por un error no detectado a tiempo.</w:t>
      </w:r>
    </w:p>
    <w:p>
      <w:pPr>
        <w:pStyle w:val="Heading2"/>
        <w:spacing w:after="120" w:before="250"/>
      </w:pPr>
      <w:r>
        <w:t xml:space="preserve">Ejercicio 5 — Auditoría a la IA en priorización</w:t>
      </w:r>
    </w:p>
    <w:p>
      <w:pPr>
        <w:spacing w:after="150"/>
      </w:pPr>
      <w:r>
        <w:t xml:space="preserve">Documenta tu prompt y respuesta reales. Verifica si la IA justificó cada clasificación MoSCoW con valor/riesgo/dependencias, o si repartió las categorías sin argumento técnico.</w:t>
      </w:r>
    </w:p>
    <w:p>
      <w:pPr>
        <w:pStyle w:val="Heading1"/>
        <w:spacing w:after="150" w:before="300"/>
      </w:pPr>
      <w:r>
        <w:t xml:space="preserve">Foro de reflexión (borrador, 250–300 palabras)</w:t>
      </w:r>
    </w:p>
    <w:p>
      <w:pPr>
        <w:pBdr>
          <w:left w:val="single" w:color="888888" w:sz="12" w:space="8"/>
        </w:pBdr>
        <w:spacing w:after="150"/>
        <w:ind w:left="400"/>
      </w:pPr>
      <w:r>
        <w:rPr>
          <w:i/>
          <w:iCs/>
        </w:rPr>
        <w:t xml:space="preserve">Aceptar eliminar todos los RNF del MVP para priorizar solo características visuales sería deuda técnica imprudente porque los RNF garantizan que el sistema sea confiable en el uso real, no solo atractivo en una demo.</w:t>
      </w:r>
    </w:p>
    <w:p>
      <w:pPr>
        <w:pBdr>
          <w:left w:val="single" w:color="888888" w:sz="12" w:space="8"/>
        </w:pBdr>
        <w:spacing w:after="150"/>
        <w:ind w:left="400"/>
      </w:pPr>
      <w:r>
        <w:rPr>
          <w:i/>
          <w:iCs/>
        </w:rPr>
        <w:t xml:space="preserve">Defendería ante Boutique El Manantial que "un MVP no es sinónimo de software inseguro ni lento" explicando que el MVP reduce el alcance de funcionalidades, no la calidad de las que sí incluye.</w:t>
      </w:r>
    </w:p>
    <w:p>
      <w:pPr>
        <w:spacing w:after="100"/>
      </w:pPr>
    </w:p>
    <w:p>
      <w:pPr>
        <w:pStyle w:val="Heading1"/>
        <w:spacing w:after="150" w:before="300"/>
      </w:pPr>
      <w:r>
        <w:t xml:space="preserve">Cuestionario — respuestas correctas</w:t>
      </w:r>
    </w:p>
    <w:p>
      <w:pPr>
        <w:spacing w:after="150"/>
      </w:pPr>
      <w:r>
        <w:t xml:space="preserve">1. B  ·  2. B  ·  3. B  ·  4. B  ·  5. B  ·  6. B  ·  7. B</w:t>
      </w:r>
    </w:p>
    <w:p>
      <w:pPr>
        <w:pStyle w:val="Heading1"/>
        <w:spacing w:after="150" w:before="300"/>
      </w:pPr>
      <w:r>
        <w:t xml:space="preserve">FPI-07 — Ficha diligenciada</w:t>
      </w:r>
    </w:p>
    <w:p>
      <w:pPr>
        <w:spacing w:after="150"/>
      </w:pPr>
      <w:r>
        <w:rPr>
          <w:b/>
          <w:bCs/>
        </w:rPr>
        <w:t xml:space="preserve">Recuperado de FPI-06: </w:t>
      </w:r>
    </w:p>
    <w:p>
      <w:pPr>
        <w:spacing w:after="150"/>
      </w:pPr>
      <w:r>
        <w:t xml:space="preserve">3 historias de usuario (registrar producto, registrar venta, ver dashboard de bajo stock) + caso de uso "Registrar venta".</w:t>
      </w:r>
    </w:p>
    <w:p>
      <w:pPr>
        <w:pStyle w:val="Heading2"/>
        <w:spacing w:after="120" w:before="250"/>
      </w:pPr>
      <w:r>
        <w:t xml:space="preserve">1. Matriz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600"/>
        <w:gridCol w:w="3060"/>
      </w:tblGrid>
      <w:tr>
        <w:tc>
          <w:tcPr>
            <w:tcW w:type="dxa" w:w="1100"/>
            <w:shd w:fill="D9E2F3" w:val="clear"/>
            <w:tcMar>
              <w:top w:type="dxa" w:w="60"/>
              <w:left w:type="dxa" w:w="100"/>
              <w:bottom w:type="dxa" w:w="60"/>
              <w:right w:type="dxa" w:w="100"/>
            </w:tcMar>
          </w:tcPr>
          <w:p>
            <w:r>
              <w:rPr>
                <w:b/>
                <w:bCs/>
                <w:sz w:val="20"/>
                <w:szCs w:val="20"/>
              </w:rPr>
              <w:t xml:space="preserve">ID</w:t>
            </w:r>
          </w:p>
        </w:tc>
        <w:tc>
          <w:tcPr>
            <w:tcW w:type="dxa" w:w="3200"/>
            <w:shd w:fill="D9E2F3" w:val="clear"/>
            <w:tcMar>
              <w:top w:type="dxa" w:w="60"/>
              <w:left w:type="dxa" w:w="100"/>
              <w:bottom w:type="dxa" w:w="60"/>
              <w:right w:type="dxa" w:w="100"/>
            </w:tcMar>
          </w:tcPr>
          <w:p>
            <w:r>
              <w:rPr>
                <w:b/>
                <w:bCs/>
                <w:sz w:val="20"/>
                <w:szCs w:val="20"/>
              </w:rPr>
              <w:t xml:space="preserve">Historia</w:t>
            </w:r>
          </w:p>
        </w:tc>
        <w:tc>
          <w:tcPr>
            <w:tcW w:type="dxa" w:w="1600"/>
            <w:shd w:fill="D9E2F3" w:val="clear"/>
            <w:tcMar>
              <w:top w:type="dxa" w:w="60"/>
              <w:left w:type="dxa" w:w="100"/>
              <w:bottom w:type="dxa" w:w="60"/>
              <w:right w:type="dxa" w:w="100"/>
            </w:tcMar>
          </w:tcPr>
          <w:p>
            <w:r>
              <w:rPr>
                <w:b/>
                <w:bCs/>
                <w:sz w:val="20"/>
                <w:szCs w:val="20"/>
              </w:rPr>
              <w:t xml:space="preserve">MoSCoW</w:t>
            </w:r>
          </w:p>
        </w:tc>
        <w:tc>
          <w:tcPr>
            <w:tcW w:type="dxa" w:w="3060"/>
            <w:shd w:fill="D9E2F3" w:val="clear"/>
            <w:tcMar>
              <w:top w:type="dxa" w:w="60"/>
              <w:left w:type="dxa" w:w="100"/>
              <w:bottom w:type="dxa" w:w="60"/>
              <w:right w:type="dxa" w:w="100"/>
            </w:tcMar>
          </w:tcPr>
          <w:p>
            <w:r>
              <w:rPr>
                <w:b/>
                <w:bCs/>
                <w:sz w:val="20"/>
                <w:szCs w:val="20"/>
              </w:rPr>
              <w:t xml:space="preserve">Justificación</w:t>
            </w:r>
          </w:p>
        </w:tc>
      </w:tr>
      <w:tr>
        <w:tc>
          <w:tcPr>
            <w:tcW w:type="dxa" w:w="1100"/>
            <w:tcMar>
              <w:top w:type="dxa" w:w="60"/>
              <w:left w:type="dxa" w:w="100"/>
              <w:bottom w:type="dxa" w:w="60"/>
              <w:right w:type="dxa" w:w="100"/>
            </w:tcMar>
          </w:tcPr>
          <w:p>
            <w:r>
              <w:rPr>
                <w:b w:val="false"/>
                <w:bCs w:val="false"/>
                <w:sz w:val="20"/>
                <w:szCs w:val="20"/>
              </w:rPr>
              <w:t xml:space="preserve">RF-01</w:t>
            </w:r>
          </w:p>
        </w:tc>
        <w:tc>
          <w:tcPr>
            <w:tcW w:type="dxa" w:w="3200"/>
            <w:tcMar>
              <w:top w:type="dxa" w:w="60"/>
              <w:left w:type="dxa" w:w="100"/>
              <w:bottom w:type="dxa" w:w="60"/>
              <w:right w:type="dxa" w:w="100"/>
            </w:tcMar>
          </w:tcPr>
          <w:p>
            <w:r>
              <w:rPr>
                <w:b w:val="false"/>
                <w:bCs w:val="false"/>
                <w:sz w:val="20"/>
                <w:szCs w:val="20"/>
              </w:rPr>
              <w:t xml:space="preserve">Registrar producto</w:t>
            </w:r>
          </w:p>
        </w:tc>
        <w:tc>
          <w:tcPr>
            <w:tcW w:type="dxa" w:w="1600"/>
            <w:tcMar>
              <w:top w:type="dxa" w:w="60"/>
              <w:left w:type="dxa" w:w="100"/>
              <w:bottom w:type="dxa" w:w="60"/>
              <w:right w:type="dxa" w:w="100"/>
            </w:tcMar>
          </w:tcPr>
          <w:p>
            <w:r>
              <w:rPr>
                <w:b w:val="false"/>
                <w:bCs w:val="false"/>
                <w:sz w:val="20"/>
                <w:szCs w:val="20"/>
              </w:rPr>
              <w:t xml:space="preserve">Must</w:t>
            </w:r>
          </w:p>
        </w:tc>
        <w:tc>
          <w:tcPr>
            <w:tcW w:type="dxa" w:w="3060"/>
            <w:tcMar>
              <w:top w:type="dxa" w:w="60"/>
              <w:left w:type="dxa" w:w="100"/>
              <w:bottom w:type="dxa" w:w="60"/>
              <w:right w:type="dxa" w:w="100"/>
            </w:tcMar>
          </w:tcPr>
          <w:p>
            <w:r>
              <w:rPr>
                <w:b w:val="false"/>
                <w:bCs w:val="false"/>
                <w:sz w:val="20"/>
                <w:szCs w:val="20"/>
              </w:rPr>
              <w:t xml:space="preserve">Sin inventario cargado no hay nada que gestionar</w:t>
            </w:r>
          </w:p>
        </w:tc>
      </w:tr>
      <w:tr>
        <w:tc>
          <w:tcPr>
            <w:tcW w:type="dxa" w:w="1100"/>
            <w:tcMar>
              <w:top w:type="dxa" w:w="60"/>
              <w:left w:type="dxa" w:w="100"/>
              <w:bottom w:type="dxa" w:w="60"/>
              <w:right w:type="dxa" w:w="100"/>
            </w:tcMar>
          </w:tcPr>
          <w:p>
            <w:r>
              <w:rPr>
                <w:b w:val="false"/>
                <w:bCs w:val="false"/>
                <w:sz w:val="20"/>
                <w:szCs w:val="20"/>
              </w:rPr>
              <w:t xml:space="preserve">RF-02</w:t>
            </w:r>
          </w:p>
        </w:tc>
        <w:tc>
          <w:tcPr>
            <w:tcW w:type="dxa" w:w="3200"/>
            <w:tcMar>
              <w:top w:type="dxa" w:w="60"/>
              <w:left w:type="dxa" w:w="100"/>
              <w:bottom w:type="dxa" w:w="60"/>
              <w:right w:type="dxa" w:w="100"/>
            </w:tcMar>
          </w:tcPr>
          <w:p>
            <w:r>
              <w:rPr>
                <w:b w:val="false"/>
                <w:bCs w:val="false"/>
                <w:sz w:val="20"/>
                <w:szCs w:val="20"/>
              </w:rPr>
              <w:t xml:space="preserve">Registrar venta con descuento de stock</w:t>
            </w:r>
          </w:p>
        </w:tc>
        <w:tc>
          <w:tcPr>
            <w:tcW w:type="dxa" w:w="1600"/>
            <w:tcMar>
              <w:top w:type="dxa" w:w="60"/>
              <w:left w:type="dxa" w:w="100"/>
              <w:bottom w:type="dxa" w:w="60"/>
              <w:right w:type="dxa" w:w="100"/>
            </w:tcMar>
          </w:tcPr>
          <w:p>
            <w:r>
              <w:rPr>
                <w:b w:val="false"/>
                <w:bCs w:val="false"/>
                <w:sz w:val="20"/>
                <w:szCs w:val="20"/>
              </w:rPr>
              <w:t xml:space="preserve">Must</w:t>
            </w:r>
          </w:p>
        </w:tc>
        <w:tc>
          <w:tcPr>
            <w:tcW w:type="dxa" w:w="3060"/>
            <w:tcMar>
              <w:top w:type="dxa" w:w="60"/>
              <w:left w:type="dxa" w:w="100"/>
              <w:bottom w:type="dxa" w:w="60"/>
              <w:right w:type="dxa" w:w="100"/>
            </w:tcMar>
          </w:tcPr>
          <w:p>
            <w:r>
              <w:rPr>
                <w:b w:val="false"/>
                <w:bCs w:val="false"/>
                <w:sz w:val="20"/>
                <w:szCs w:val="20"/>
              </w:rPr>
              <w:t xml:space="preserve">Es el problema central identificado con la dueña</w:t>
            </w:r>
          </w:p>
        </w:tc>
      </w:tr>
      <w:tr>
        <w:tc>
          <w:tcPr>
            <w:tcW w:type="dxa" w:w="1100"/>
            <w:tcMar>
              <w:top w:type="dxa" w:w="60"/>
              <w:left w:type="dxa" w:w="100"/>
              <w:bottom w:type="dxa" w:w="60"/>
              <w:right w:type="dxa" w:w="100"/>
            </w:tcMar>
          </w:tcPr>
          <w:p>
            <w:r>
              <w:rPr>
                <w:b w:val="false"/>
                <w:bCs w:val="false"/>
                <w:sz w:val="20"/>
                <w:szCs w:val="20"/>
              </w:rPr>
              <w:t xml:space="preserve">RF-03</w:t>
            </w:r>
          </w:p>
        </w:tc>
        <w:tc>
          <w:tcPr>
            <w:tcW w:type="dxa" w:w="3200"/>
            <w:tcMar>
              <w:top w:type="dxa" w:w="60"/>
              <w:left w:type="dxa" w:w="100"/>
              <w:bottom w:type="dxa" w:w="60"/>
              <w:right w:type="dxa" w:w="100"/>
            </w:tcMar>
          </w:tcPr>
          <w:p>
            <w:r>
              <w:rPr>
                <w:b w:val="false"/>
                <w:bCs w:val="false"/>
                <w:sz w:val="20"/>
                <w:szCs w:val="20"/>
              </w:rPr>
              <w:t xml:space="preserve">Dashboard de stock bajo</w:t>
            </w:r>
          </w:p>
        </w:tc>
        <w:tc>
          <w:tcPr>
            <w:tcW w:type="dxa" w:w="1600"/>
            <w:tcMar>
              <w:top w:type="dxa" w:w="60"/>
              <w:left w:type="dxa" w:w="100"/>
              <w:bottom w:type="dxa" w:w="60"/>
              <w:right w:type="dxa" w:w="100"/>
            </w:tcMar>
          </w:tcPr>
          <w:p>
            <w:r>
              <w:rPr>
                <w:b w:val="false"/>
                <w:bCs w:val="false"/>
                <w:sz w:val="20"/>
                <w:szCs w:val="20"/>
              </w:rPr>
              <w:t xml:space="preserve">Should</w:t>
            </w:r>
          </w:p>
        </w:tc>
        <w:tc>
          <w:tcPr>
            <w:tcW w:type="dxa" w:w="3060"/>
            <w:tcMar>
              <w:top w:type="dxa" w:w="60"/>
              <w:left w:type="dxa" w:w="100"/>
              <w:bottom w:type="dxa" w:w="60"/>
              <w:right w:type="dxa" w:w="100"/>
            </w:tcMar>
          </w:tcPr>
          <w:p>
            <w:r>
              <w:rPr>
                <w:b w:val="false"/>
                <w:bCs w:val="false"/>
                <w:sz w:val="20"/>
                <w:szCs w:val="20"/>
              </w:rPr>
              <w:t xml:space="preserve">Gran valor, pero el sistema puede operar sin él temporalmente</w:t>
            </w:r>
          </w:p>
        </w:tc>
      </w:tr>
      <w:tr>
        <w:tc>
          <w:tcPr>
            <w:tcW w:type="dxa" w:w="1100"/>
            <w:tcMar>
              <w:top w:type="dxa" w:w="60"/>
              <w:left w:type="dxa" w:w="100"/>
              <w:bottom w:type="dxa" w:w="60"/>
              <w:right w:type="dxa" w:w="100"/>
            </w:tcMar>
          </w:tcPr>
          <w:p>
            <w:r>
              <w:rPr>
                <w:b w:val="false"/>
                <w:bCs w:val="false"/>
                <w:sz w:val="20"/>
                <w:szCs w:val="20"/>
              </w:rPr>
              <w:t xml:space="preserve">(nueva)</w:t>
            </w:r>
          </w:p>
        </w:tc>
        <w:tc>
          <w:tcPr>
            <w:tcW w:type="dxa" w:w="3200"/>
            <w:tcMar>
              <w:top w:type="dxa" w:w="60"/>
              <w:left w:type="dxa" w:w="100"/>
              <w:bottom w:type="dxa" w:w="60"/>
              <w:right w:type="dxa" w:w="100"/>
            </w:tcMar>
          </w:tcPr>
          <w:p>
            <w:r>
              <w:rPr>
                <w:b w:val="false"/>
                <w:bCs w:val="false"/>
                <w:sz w:val="20"/>
                <w:szCs w:val="20"/>
              </w:rPr>
              <w:t xml:space="preserve">Gráfico de ventas por mes</w:t>
            </w:r>
          </w:p>
        </w:tc>
        <w:tc>
          <w:tcPr>
            <w:tcW w:type="dxa" w:w="1600"/>
            <w:tcMar>
              <w:top w:type="dxa" w:w="60"/>
              <w:left w:type="dxa" w:w="100"/>
              <w:bottom w:type="dxa" w:w="60"/>
              <w:right w:type="dxa" w:w="100"/>
            </w:tcMar>
          </w:tcPr>
          <w:p>
            <w:r>
              <w:rPr>
                <w:b w:val="false"/>
                <w:bCs w:val="false"/>
                <w:sz w:val="20"/>
                <w:szCs w:val="20"/>
              </w:rPr>
              <w:t xml:space="preserve">Could</w:t>
            </w:r>
          </w:p>
        </w:tc>
        <w:tc>
          <w:tcPr>
            <w:tcW w:type="dxa" w:w="3060"/>
            <w:tcMar>
              <w:top w:type="dxa" w:w="60"/>
              <w:left w:type="dxa" w:w="100"/>
              <w:bottom w:type="dxa" w:w="60"/>
              <w:right w:type="dxa" w:w="100"/>
            </w:tcMar>
          </w:tcPr>
          <w:p>
            <w:r>
              <w:rPr>
                <w:b w:val="false"/>
                <w:bCs w:val="false"/>
                <w:sz w:val="20"/>
                <w:szCs w:val="20"/>
              </w:rPr>
              <w:t xml:space="preserve">Mejora deseable, no crítica</w:t>
            </w:r>
          </w:p>
        </w:tc>
      </w:tr>
      <w:tr>
        <w:tc>
          <w:tcPr>
            <w:tcW w:type="dxa" w:w="1100"/>
            <w:tcMar>
              <w:top w:type="dxa" w:w="60"/>
              <w:left w:type="dxa" w:w="100"/>
              <w:bottom w:type="dxa" w:w="60"/>
              <w:right w:type="dxa" w:w="100"/>
            </w:tcMar>
          </w:tcPr>
          <w:p>
            <w:r>
              <w:rPr>
                <w:b w:val="false"/>
                <w:bCs w:val="false"/>
                <w:sz w:val="20"/>
                <w:szCs w:val="20"/>
              </w:rPr>
              <w:t xml:space="preserve">(nueva)</w:t>
            </w:r>
          </w:p>
        </w:tc>
        <w:tc>
          <w:tcPr>
            <w:tcW w:type="dxa" w:w="3200"/>
            <w:tcMar>
              <w:top w:type="dxa" w:w="60"/>
              <w:left w:type="dxa" w:w="100"/>
              <w:bottom w:type="dxa" w:w="60"/>
              <w:right w:type="dxa" w:w="100"/>
            </w:tcMar>
          </w:tcPr>
          <w:p>
            <w:r>
              <w:rPr>
                <w:b w:val="false"/>
                <w:bCs w:val="false"/>
                <w:sz w:val="20"/>
                <w:szCs w:val="20"/>
              </w:rPr>
              <w:t xml:space="preserve">Exportar reportes a Excel</w:t>
            </w:r>
          </w:p>
        </w:tc>
        <w:tc>
          <w:tcPr>
            <w:tcW w:type="dxa" w:w="1600"/>
            <w:tcMar>
              <w:top w:type="dxa" w:w="60"/>
              <w:left w:type="dxa" w:w="100"/>
              <w:bottom w:type="dxa" w:w="60"/>
              <w:right w:type="dxa" w:w="100"/>
            </w:tcMar>
          </w:tcPr>
          <w:p>
            <w:r>
              <w:rPr>
                <w:b w:val="false"/>
                <w:bCs w:val="false"/>
                <w:sz w:val="20"/>
                <w:szCs w:val="20"/>
              </w:rPr>
              <w:t xml:space="preserve">Won't (esta vez)</w:t>
            </w:r>
          </w:p>
        </w:tc>
        <w:tc>
          <w:tcPr>
            <w:tcW w:type="dxa" w:w="3060"/>
            <w:tcMar>
              <w:top w:type="dxa" w:w="60"/>
              <w:left w:type="dxa" w:w="100"/>
              <w:bottom w:type="dxa" w:w="60"/>
              <w:right w:type="dxa" w:w="100"/>
            </w:tcMar>
          </w:tcPr>
          <w:p>
            <w:r>
              <w:rPr>
                <w:b w:val="false"/>
                <w:bCs w:val="false"/>
                <w:sz w:val="20"/>
                <w:szCs w:val="20"/>
              </w:rPr>
              <w:t xml:space="preserve">Se documenta y pospone; no crítica para validar el MVP</w:t>
            </w:r>
          </w:p>
        </w:tc>
      </w:tr>
    </w:tbl>
    <w:p>
      <w:pPr>
        <w:spacing w:after="100"/>
      </w:pPr>
    </w:p>
    <w:p>
      <w:pPr>
        <w:pStyle w:val="Heading2"/>
        <w:spacing w:after="120" w:before="250"/>
      </w:pPr>
      <w:r>
        <w:t xml:space="preserve">2. Alcance formal del MVP (150+ palabras)</w:t>
      </w:r>
    </w:p>
    <w:p>
      <w:pPr>
        <w:pBdr>
          <w:left w:val="single" w:color="888888" w:sz="12" w:space="8"/>
        </w:pBdr>
        <w:spacing w:after="150"/>
        <w:ind w:left="400"/>
      </w:pPr>
      <w:r>
        <w:rPr>
          <w:i/>
          <w:iCs/>
        </w:rPr>
        <w:t xml:space="preserve">El MVP de StockCentral incluirá únicamente las funcionalidades Must Have: registro de productos con validación (nombre, precio positivo, stock inicial) y registro de ventas que descuente automáticamente el stock, rechazando ventas que excedan el stock disponible. Se incluye también, como Should Have priorizado, el dashboard con el conteo de productos en bajo stock. Quedan fuera: gráficos de tendencias, exportación a Excel, múltiples usuarios con roles, e integraciones de pagos o facturación electrónica. El MVP no es una versión rota del sistema: es una rebanada delgada pero completamente funcional del problema real, sin comprometer la calidad de lo que sí se construye.</w:t>
      </w:r>
    </w:p>
    <w:p>
      <w:pPr>
        <w:pStyle w:val="Heading2"/>
        <w:spacing w:after="120" w:before="250"/>
      </w:pPr>
      <w:r>
        <w:t xml:space="preserve">3. Verificación de RNF en 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shd w:fill="D9E2F3" w:val="clear"/>
            <w:tcMar>
              <w:top w:type="dxa" w:w="60"/>
              <w:left w:type="dxa" w:w="100"/>
              <w:bottom w:type="dxa" w:w="60"/>
              <w:right w:type="dxa" w:w="100"/>
            </w:tcMar>
          </w:tcPr>
          <w:p>
            <w:r>
              <w:rPr>
                <w:b/>
                <w:bCs/>
                <w:sz w:val="20"/>
                <w:szCs w:val="20"/>
              </w:rPr>
              <w:t xml:space="preserve">RNF</w:t>
            </w:r>
          </w:p>
        </w:tc>
        <w:tc>
          <w:tcPr>
            <w:tcW w:type="dxa" w:w="1600"/>
            <w:shd w:fill="D9E2F3" w:val="clear"/>
            <w:tcMar>
              <w:top w:type="dxa" w:w="60"/>
              <w:left w:type="dxa" w:w="100"/>
              <w:bottom w:type="dxa" w:w="60"/>
              <w:right w:type="dxa" w:w="100"/>
            </w:tcMar>
          </w:tcPr>
          <w:p>
            <w:r>
              <w:rPr>
                <w:b/>
                <w:bCs/>
                <w:sz w:val="20"/>
                <w:szCs w:val="20"/>
              </w:rPr>
              <w:t xml:space="preserve">¿Se mantiene?</w:t>
            </w:r>
          </w:p>
        </w:tc>
        <w:tc>
          <w:tcPr>
            <w:tcW w:type="dxa" w:w="5160"/>
            <w:shd w:fill="D9E2F3" w:val="clear"/>
            <w:tcMar>
              <w:top w:type="dxa" w:w="60"/>
              <w:left w:type="dxa" w:w="100"/>
              <w:bottom w:type="dxa" w:w="60"/>
              <w:right w:type="dxa" w:w="100"/>
            </w:tcMar>
          </w:tcPr>
          <w:p>
            <w:r>
              <w:rPr>
                <w:b/>
                <w:bCs/>
                <w:sz w:val="20"/>
                <w:szCs w:val="20"/>
              </w:rPr>
              <w:t xml:space="preserve">Cómo se garantiza</w:t>
            </w:r>
          </w:p>
        </w:tc>
      </w:tr>
      <w:tr>
        <w:tc>
          <w:tcPr>
            <w:tcW w:type="dxa" w:w="2600"/>
            <w:tcMar>
              <w:top w:type="dxa" w:w="60"/>
              <w:left w:type="dxa" w:w="100"/>
              <w:bottom w:type="dxa" w:w="60"/>
              <w:right w:type="dxa" w:w="100"/>
            </w:tcMar>
          </w:tcPr>
          <w:p>
            <w:r>
              <w:rPr>
                <w:b w:val="false"/>
                <w:bCs w:val="false"/>
                <w:sz w:val="20"/>
                <w:szCs w:val="20"/>
              </w:rPr>
              <w:t xml:space="preserve">RNF-01 (venta &lt;1.5s)</w:t>
            </w:r>
          </w:p>
        </w:tc>
        <w:tc>
          <w:tcPr>
            <w:tcW w:type="dxa" w:w="1600"/>
            <w:tcMar>
              <w:top w:type="dxa" w:w="60"/>
              <w:left w:type="dxa" w:w="100"/>
              <w:bottom w:type="dxa" w:w="60"/>
              <w:right w:type="dxa" w:w="100"/>
            </w:tcMar>
          </w:tcPr>
          <w:p>
            <w:r>
              <w:rPr>
                <w:b w:val="false"/>
                <w:bCs w:val="false"/>
                <w:sz w:val="20"/>
                <w:szCs w:val="20"/>
              </w:rPr>
              <w:t xml:space="preserve">Sí</w:t>
            </w:r>
          </w:p>
        </w:tc>
        <w:tc>
          <w:tcPr>
            <w:tcW w:type="dxa" w:w="5160"/>
            <w:tcMar>
              <w:top w:type="dxa" w:w="60"/>
              <w:left w:type="dxa" w:w="100"/>
              <w:bottom w:type="dxa" w:w="60"/>
              <w:right w:type="dxa" w:w="100"/>
            </w:tcMar>
          </w:tcPr>
          <w:p>
            <w:r>
              <w:rPr>
                <w:b w:val="false"/>
                <w:bCs w:val="false"/>
                <w:sz w:val="20"/>
                <w:szCs w:val="20"/>
              </w:rPr>
              <w:t xml:space="preserve">Se probará con dataset de ejemplo bajo carga normal antes de la demo</w:t>
            </w:r>
          </w:p>
        </w:tc>
      </w:tr>
      <w:tr>
        <w:tc>
          <w:tcPr>
            <w:tcW w:type="dxa" w:w="2600"/>
            <w:tcMar>
              <w:top w:type="dxa" w:w="60"/>
              <w:left w:type="dxa" w:w="100"/>
              <w:bottom w:type="dxa" w:w="60"/>
              <w:right w:type="dxa" w:w="100"/>
            </w:tcMar>
          </w:tcPr>
          <w:p>
            <w:r>
              <w:rPr>
                <w:b w:val="false"/>
                <w:bCs w:val="false"/>
                <w:sz w:val="20"/>
                <w:szCs w:val="20"/>
              </w:rPr>
              <w:t xml:space="preserve">RNF-02 (autenticación cifrada)</w:t>
            </w:r>
          </w:p>
        </w:tc>
        <w:tc>
          <w:tcPr>
            <w:tcW w:type="dxa" w:w="1600"/>
            <w:tcMar>
              <w:top w:type="dxa" w:w="60"/>
              <w:left w:type="dxa" w:w="100"/>
              <w:bottom w:type="dxa" w:w="60"/>
              <w:right w:type="dxa" w:w="100"/>
            </w:tcMar>
          </w:tcPr>
          <w:p>
            <w:r>
              <w:rPr>
                <w:b w:val="false"/>
                <w:bCs w:val="false"/>
                <w:sz w:val="20"/>
                <w:szCs w:val="20"/>
              </w:rPr>
              <w:t xml:space="preserve">Sí</w:t>
            </w:r>
          </w:p>
        </w:tc>
        <w:tc>
          <w:tcPr>
            <w:tcW w:type="dxa" w:w="5160"/>
            <w:tcMar>
              <w:top w:type="dxa" w:w="60"/>
              <w:left w:type="dxa" w:w="100"/>
              <w:bottom w:type="dxa" w:w="60"/>
              <w:right w:type="dxa" w:w="100"/>
            </w:tcMar>
          </w:tcPr>
          <w:p>
            <w:r>
              <w:rPr>
                <w:b w:val="false"/>
                <w:bCs w:val="false"/>
                <w:sz w:val="20"/>
                <w:szCs w:val="20"/>
              </w:rPr>
              <w:t xml:space="preserve">Hash de contraseñas estándar (BCrypt de Spring Security), no texto plano</w:t>
            </w:r>
          </w:p>
        </w:tc>
      </w:tr>
    </w:tbl>
    <w:p>
      <w:pPr>
        <w:spacing w:after="100"/>
      </w:pPr>
    </w:p>
    <w:p>
      <w:pPr>
        <w:pStyle w:val="Heading2"/>
        <w:spacing w:after="120" w:before="250"/>
      </w:pPr>
      <w:r>
        <w:t xml:space="preserve">4. Auditoría a la IA</w:t>
      </w:r>
    </w:p>
    <w:p>
      <w:pPr>
        <w:spacing w:after="150"/>
      </w:pPr>
      <w:r>
        <w:t xml:space="preserve">La IA tendió a clasificar por "lo más interesante técnicamente" en vez de por valor real de negocio; se corrigió priorizando el control de stock, necesidad central validada con la dueña.</w:t>
      </w:r>
    </w:p>
    <w:p>
      <w:pPr>
        <w:pStyle w:val="Heading2"/>
        <w:spacing w:after="120" w:before="250"/>
      </w:pPr>
      <w:r>
        <w:t xml:space="preserve">D. Reflexión</w:t>
      </w:r>
    </w:p>
    <w:p>
      <w:pPr>
        <w:spacing w:after="150"/>
      </w:pPr>
      <w:r>
        <w:t xml:space="preserve">Priorizar con criterio evitó construir "lo más vistoso" en vez de "lo más necesario". Próximo paso: validar este alcance con una Revisión Técnica Formal (FPI-08).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2026-10-05T02:32:13.347Z</dcterms:created>
  <dcterms:modified xsi:type="dcterms:W3CDTF">2026-10-05T02:32:13.347Z</dcterms:modified>
</cp:coreProperties>
</file>

<file path=docProps/custom.xml><?xml version="1.0" encoding="utf-8"?>
<Properties xmlns="http://schemas.openxmlformats.org/officeDocument/2006/custom-properties" xmlns:vt="http://schemas.openxmlformats.org/officeDocument/2006/docPropsVTypes"/>
</file>