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Guía 8 — Validación, Trazabilidad y Gestión del Cambio de Requisitos</w:t>
      </w:r>
    </w:p>
    <w:p>
      <w:pPr>
        <w:spacing w:after="300"/>
      </w:pPr>
      <w:r>
        <w:rPr>
          <w:i/>
          <w:iCs/>
          <w:color w:val="555555"/>
        </w:rPr>
        <w:t xml:space="preserve">Proyecto integrador: StockCentral (Boutique El Manantial) — Taller resuelto y FPI-08</w:t>
      </w:r>
    </w:p>
    <w:p>
      <w:pPr>
        <w:pStyle w:val="Heading1"/>
        <w:spacing w:after="150" w:before="300"/>
      </w:pPr>
      <w:r>
        <w:t xml:space="preserve">Taller</w:t>
      </w:r>
    </w:p>
    <w:p>
      <w:pPr>
        <w:pStyle w:val="Heading2"/>
        <w:spacing w:after="120" w:before="250"/>
      </w:pPr>
      <w:r>
        <w:t xml:space="preserve">Ejercicio 1 — 3 defectos RTF (máx. 100 palabras)</w:t>
      </w:r>
    </w:p>
    <w:p>
      <w:pPr>
        <w:pBdr>
          <w:left w:val="single" w:color="888888" w:sz="12" w:space="8"/>
        </w:pBdr>
        <w:spacing w:after="150"/>
        <w:ind w:left="400"/>
      </w:pPr>
      <w:r>
        <w:rPr>
          <w:i/>
          <w:iCs/>
        </w:rPr>
        <w:t xml:space="preserve">Una Revisión Técnica Formal busca ambigüedades (términos interpretables de más de una forma), omisiones (algo necesario que no quedó escrito) y contradicciones (dos requisitos que se anulan entre sí).</w:t>
      </w:r>
    </w:p>
    <w:p>
      <w:pPr>
        <w:pStyle w:val="Heading2"/>
        <w:spacing w:after="120" w:before="250"/>
      </w:pPr>
      <w:r>
        <w:t xml:space="preserve">Ejercicio 2 — Catálogo ficticio de 3 requisitos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Ambigüedad: "notificar cuando el stock esté bajo" (¿bajo qué número exactamente?)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Omisión: no se especifica qué pasa si dos ventas simultáneas descuentan el mismo producto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Contradicción: un requisito dice que el precio no puede modificarse tras la primera venta y otro dice que la dueña puede editar cualquier producto en cualquier momento</w:t>
      </w:r>
    </w:p>
    <w:p>
      <w:pPr>
        <w:pStyle w:val="Heading2"/>
        <w:spacing w:after="120" w:before="250"/>
      </w:pPr>
      <w:r>
        <w:t xml:space="preserve">Ejercicio 3 — Matriz de trazabilidad simple (StockCentral)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160"/>
        <w:gridCol w:w="3200"/>
      </w:tblGrid>
      <w:tr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Origen</w:t>
            </w:r>
          </w:p>
        </w:tc>
        <w:tc>
          <w:tcPr>
            <w:tcW w:type="dxa" w:w="31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Historia/caso de uso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Dueña (FPI-04)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producto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producto válido → aparece en la lista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Empleado (FPI-04)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venta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Vender más stock del disponible → se rechaza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Dueña (FPI-04)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dashboard bajo stock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 con 5 uds y umbral 10 → aparece contado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Ejercicio 4 — Solicitud de cambio simulada (pagos con cripto)</w:t>
      </w:r>
    </w:p>
    <w:p>
      <w:pPr>
        <w:pBdr>
          <w:left w:val="single" w:color="888888" w:sz="12" w:space="8"/>
        </w:pBdr>
        <w:spacing w:after="150"/>
        <w:ind w:left="400"/>
      </w:pPr>
      <w:r>
        <w:rPr>
          <w:i/>
          <w:iCs/>
        </w:rPr>
        <w:t xml:space="preserve">Análisis de impacto: afectaría el modelo de dominio, el diseño (integración con pasarela externa), las pruebas y el cronograma. Recomendación: aplazar el cambio; no es coherente con el alcance Must Have y la organización beneficiaria no tiene evidencia de que sus clientes lo demanden. Se documenta como "Won't Have (esta vez)".</w:t>
      </w:r>
    </w:p>
    <w:p>
      <w:pPr>
        <w:pStyle w:val="Heading2"/>
        <w:spacing w:after="120" w:before="250"/>
      </w:pPr>
      <w:r>
        <w:t xml:space="preserve">Ejercicio 5 — Auditoría a la IA en análisis de impacto</w:t>
      </w:r>
    </w:p>
    <w:p>
      <w:pPr>
        <w:spacing w:after="150"/>
      </w:pPr>
      <w:r>
        <w:t xml:space="preserve">Documenta tu prompt y respuesta reales. Verifica si la IA consideró el impacto en pruebas y documentación, o solo en el código.</w:t>
      </w:r>
    </w:p>
    <w:p>
      <w:pPr>
        <w:pStyle w:val="Heading1"/>
        <w:spacing w:after="150" w:before="300"/>
      </w:pPr>
      <w:r>
        <w:t xml:space="preserve">Foro de reflexión (borrador, 250–300 palabras)</w:t>
      </w:r>
    </w:p>
    <w:p>
      <w:pPr>
        <w:pBdr>
          <w:left w:val="single" w:color="888888" w:sz="12" w:space="8"/>
        </w:pBdr>
        <w:spacing w:after="150"/>
        <w:ind w:left="400"/>
      </w:pPr>
      <w:r>
        <w:rPr>
          <w:i/>
          <w:iCs/>
        </w:rPr>
        <w:t xml:space="preserve">Un requisito sin trazabilidad hacia un stakeholder real es una bomba de tiempo: representa esfuerzo invertido en algo que nadie pidió (sobrediseño). Y un requisito sin trazabilidad hacia un caso de prueba significa que nadie verificó si realmente funciona, un riesgo de calidad inaceptable.</w:t>
      </w:r>
    </w:p>
    <w:p>
      <w:pPr>
        <w:pBdr>
          <w:left w:val="single" w:color="888888" w:sz="12" w:space="8"/>
        </w:pBdr>
        <w:spacing w:after="150"/>
        <w:ind w:left="400"/>
      </w:pPr>
      <w:r>
        <w:rPr>
          <w:i/>
          <w:iCs/>
        </w:rPr>
        <w:t xml:space="preserve">Tener una matriz de trazabilidad clara cambia cómo se negocia un cambio de alcance: el equipo puede mostrar exactamente qué se vería afectado, y el cliente decide con información real, no a ciegas.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Cuestionario — respuestas correctas</w:t>
      </w:r>
    </w:p>
    <w:p>
      <w:pPr>
        <w:spacing w:after="150"/>
      </w:pPr>
      <w:r>
        <w:t xml:space="preserve">1. B  ·  2. A  ·  3. B  ·  4. B  ·  5. A  ·  6. B  ·  7. B</w:t>
      </w:r>
    </w:p>
    <w:p>
      <w:pPr>
        <w:pStyle w:val="Heading1"/>
        <w:spacing w:after="150" w:before="300"/>
      </w:pPr>
      <w:r>
        <w:t xml:space="preserve">FPI-08 — Ficha diligenciada</w:t>
      </w:r>
    </w:p>
    <w:p>
      <w:pPr>
        <w:spacing w:after="150"/>
      </w:pPr>
      <w:r>
        <w:rPr>
          <w:b/>
          <w:bCs/>
        </w:rPr>
        <w:t xml:space="preserve">Recuperado de FPI-07: </w:t>
      </w:r>
    </w:p>
    <w:p>
      <w:pPr>
        <w:spacing w:after="150"/>
      </w:pPr>
      <w:r>
        <w:t xml:space="preserve">Alcance MVP = registro de producto + registro de venta (Must) + dashboard de bajo stock (Should priorizado).</w:t>
      </w:r>
    </w:p>
    <w:p>
      <w:pPr>
        <w:pStyle w:val="Heading2"/>
        <w:spacing w:after="120" w:before="250"/>
      </w:pPr>
      <w:r>
        <w:t xml:space="preserve">1. Hallazgos de la RTF (mínimo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200"/>
        <w:gridCol w:w="3560"/>
      </w:tblGrid>
      <w:tr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defecto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Corrección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Ambigüedad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"Stock bajo" sin número definido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fijó el umbral en &lt;10 unidades, configurable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Omisión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se definía venta simultánea del mismo producto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valida stock en el momento exacto de confirmar la venta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RF-01/02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Contradicción potencial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estaba claro si el precio podía editarse tras ventas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precio se edita libremente; las ventas conservan el precio histórico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2. Matriz de trazabilidad bidireccional (mínimo 4 Must 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260"/>
        <w:gridCol w:w="2260"/>
        <w:gridCol w:w="2640"/>
      </w:tblGrid>
      <w:tr>
        <w:tc>
          <w:tcPr>
            <w:tcW w:type="dxa" w:w="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Origen</w:t>
            </w:r>
          </w:p>
        </w:tc>
        <w:tc>
          <w:tcPr>
            <w:tcW w:type="dxa" w:w="22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Historia/caso de uso</w:t>
            </w:r>
          </w:p>
        </w:tc>
        <w:tc>
          <w:tcPr>
            <w:tcW w:type="dxa" w:w="22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Diseño</w:t>
            </w:r>
          </w:p>
        </w:tc>
        <w:tc>
          <w:tcPr>
            <w:tcW w:type="dxa" w:w="26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Dueña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producto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ProductoController/Service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válido/inválido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venta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VentaController/Service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 con stock suficiente/insuficiente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Dueña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dashboard bajo stock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DashboardController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 bajo/sobre umbral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RNF-02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Dueña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SecurityConfig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Acceso con/sin credenciales válidas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3. Solicitud de cambio y análisis de impacto</w:t>
      </w:r>
    </w:p>
    <w:p>
      <w:pPr>
        <w:spacing w:after="150"/>
      </w:pPr>
      <w:r>
        <w:t xml:space="preserve">Sin cambios de alcance hasta la fecha de esta ficha; se documenta como precedente el ejercicio de análisis de impacto del taller (pagos con criptomonedas, aplazado).</w:t>
      </w:r>
    </w:p>
    <w:p>
      <w:pPr>
        <w:pStyle w:val="Heading2"/>
        <w:spacing w:after="120" w:before="250"/>
      </w:pPr>
      <w:r>
        <w:t xml:space="preserve">4. Auditoría a la IA</w:t>
      </w:r>
    </w:p>
    <w:p>
      <w:pPr>
        <w:spacing w:after="150"/>
      </w:pPr>
      <w:r>
        <w:t xml:space="preserve">La IA detectó ambigüedades superficiales pero no la contradicción de precios hasta pedirle revisar consistencia entre historias relacionadas.</w:t>
      </w:r>
    </w:p>
    <w:p>
      <w:pPr>
        <w:pStyle w:val="Heading2"/>
        <w:spacing w:after="120" w:before="250"/>
      </w:pPr>
      <w:r>
        <w:t xml:space="preserve">D. Reflexión</w:t>
      </w:r>
    </w:p>
    <w:p>
      <w:pPr>
        <w:spacing w:after="150"/>
      </w:pPr>
      <w:r>
        <w:t xml:space="preserve">La RTF reveló defectos no evidentes al escribir los requisitos por separado. Próximo paso: construir el modelo de dominio (FPI-09).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2026-10-05T02:32:13.514Z</dcterms:created>
  <dcterms:modified xsi:type="dcterms:W3CDTF">2026-10-05T02:32:13.514Z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