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Guía 9 — Modelado del Dominio: Entidades, Relaciones y Reglas de Negocio</w:t>
      </w:r>
    </w:p>
    <w:p>
      <w:pPr>
        <w:spacing w:after="300"/>
      </w:pPr>
      <w:r>
        <w:rPr>
          <w:i/>
          <w:iCs/>
          <w:color w:val="555555"/>
        </w:rPr>
        <w:t xml:space="preserve">Proyecto integrador: StockCentral (Boutique El Manantial) — Taller resuelto y FPI-09</w:t>
      </w:r>
    </w:p>
    <w:p>
      <w:pPr>
        <w:pStyle w:val="Heading1"/>
        <w:spacing w:after="150" w:before="300"/>
      </w:pPr>
      <w:r>
        <w:t xml:space="preserve">Taller</w:t>
      </w:r>
    </w:p>
    <w:p>
      <w:pPr>
        <w:pStyle w:val="Heading2"/>
        <w:spacing w:after="120" w:before="250"/>
      </w:pPr>
      <w:r>
        <w:t xml:space="preserve">Ejercicio 1 — Entidad vs atributo (máx. 100 palabras)</w:t>
      </w:r>
    </w:p>
    <w:p>
      <w:pPr>
        <w:pBdr>
          <w:left w:val="single" w:color="888888" w:sz="12" w:space="8"/>
        </w:pBdr>
        <w:spacing w:after="150"/>
        <w:ind w:left="400"/>
      </w:pPr>
      <w:r>
        <w:rPr>
          <w:i/>
          <w:iCs/>
        </w:rPr>
        <w:t xml:space="preserve">Una entidad es un concepto del negocio con identidad propia (ej. Producto), mientras que un atributo es una propiedad que la describe, sin identidad propia independiente (ej. el precio o el nombre del producto).</w:t>
      </w:r>
    </w:p>
    <w:p>
      <w:pPr>
        <w:pStyle w:val="Heading2"/>
        <w:spacing w:after="120" w:before="250"/>
      </w:pPr>
      <w:r>
        <w:t xml:space="preserve">Ejercicio 2 — Biblioteca ficticia (3 entidades + atributos)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Libro: título, ISBN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Usuario: nombre, número de identificación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Préstamo: fecha de préstamo, fecha de devolución</w:t>
      </w:r>
    </w:p>
    <w:p>
      <w:pPr>
        <w:pStyle w:val="Heading2"/>
        <w:spacing w:after="120" w:before="250"/>
      </w:pPr>
      <w:r>
        <w:t xml:space="preserve">Ejercicio 3 — Relaciones con cardinalidad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Usuario — Préstamo: 1:N, opcional (un usuario puede tener cero o muchos préstamos)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Libro — Préstamo: 1:N, opcional (un libro puede tener cero o muchos préstamos, uno activo a la vez)</w:t>
      </w:r>
    </w:p>
    <w:p>
      <w:pPr>
        <w:pStyle w:val="Heading2"/>
        <w:spacing w:after="120" w:before="250"/>
      </w:pPr>
      <w:r>
        <w:t xml:space="preserve">Ejercicio 4 — Reglas de negocio (biblioteca)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 usuario no puede tener más de 3 préstamos activos simultáneamente.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 libro no puede prestarse si ya tiene un préstamo activo sin devolver.</w:t>
      </w:r>
    </w:p>
    <w:p>
      <w:pPr>
        <w:pStyle w:val="Heading2"/>
        <w:spacing w:after="120" w:before="250"/>
      </w:pPr>
      <w:r>
        <w:t xml:space="preserve">Ejercicio 5 — Auditoría a la IA en modelado de dominio</w:t>
      </w:r>
    </w:p>
    <w:p>
      <w:pPr>
        <w:spacing w:after="150"/>
      </w:pPr>
      <w:r>
        <w:t xml:space="preserve">Documenta tu prompt y respuesta reales. Verifica si la IA inventó alguna entidad sin sustento o asumió cardinalidades sin justificarlas.</w:t>
      </w:r>
    </w:p>
    <w:p>
      <w:pPr>
        <w:pStyle w:val="Heading1"/>
        <w:spacing w:after="150" w:before="300"/>
      </w:pPr>
      <w:r>
        <w:t xml:space="preserve">Foro de reflexión (borrador, 250–300 palabras)</w:t>
      </w:r>
    </w:p>
    <w:p>
      <w:pPr>
        <w:pBdr>
          <w:left w:val="single" w:color="888888" w:sz="12" w:space="8"/>
        </w:pBdr>
        <w:spacing w:after="150"/>
        <w:ind w:left="400"/>
      </w:pPr>
      <w:r>
        <w:rPr>
          <w:i/>
          <w:iCs/>
        </w:rPr>
        <w:t xml:space="preserve">Cuando el equipo técnico y el negocio usan términos distintos para el mismo concepto, se genera fricción de comunicación constante. El lenguaje ubicuo previene este problema estableciendo, desde el modelado, un glosario compartido.</w:t>
      </w:r>
    </w:p>
    <w:p>
      <w:pPr>
        <w:pBdr>
          <w:left w:val="single" w:color="888888" w:sz="12" w:space="8"/>
        </w:pBdr>
        <w:spacing w:after="150"/>
        <w:ind w:left="400"/>
      </w:pPr>
      <w:r>
        <w:rPr>
          <w:i/>
          <w:iCs/>
        </w:rPr>
        <w:t xml:space="preserve">En StockCentral, definimos explícitamente que "producto" se refiere siempre a una prenda individual con su propio stock, y ese término se usa consistentemente en las conversaciones con la dueña, en el modelo de dominio y en el código.</w:t>
      </w:r>
    </w:p>
    <w:p>
      <w:pPr>
        <w:spacing w:after="100"/>
      </w:pPr>
    </w:p>
    <w:p>
      <w:pPr>
        <w:pStyle w:val="Heading1"/>
        <w:spacing w:after="150" w:before="300"/>
      </w:pPr>
      <w:r>
        <w:t xml:space="preserve">Cuestionario — respuestas correctas</w:t>
      </w:r>
    </w:p>
    <w:p>
      <w:pPr>
        <w:spacing w:after="150"/>
      </w:pPr>
      <w:r>
        <w:t xml:space="preserve">1. B  ·  2. A  ·  3. B  ·  4. B  ·  5. B  ·  6. B  ·  7. B</w:t>
      </w:r>
    </w:p>
    <w:p>
      <w:pPr>
        <w:pStyle w:val="Heading1"/>
        <w:spacing w:after="150" w:before="300"/>
      </w:pPr>
      <w:r>
        <w:t xml:space="preserve">FPI-09 — Ficha diligenciada</w:t>
      </w:r>
    </w:p>
    <w:p>
      <w:pPr>
        <w:spacing w:after="150"/>
      </w:pPr>
      <w:r>
        <w:rPr>
          <w:b/>
          <w:bCs/>
        </w:rPr>
        <w:t xml:space="preserve">Recuperado de FPI-08: </w:t>
      </w:r>
    </w:p>
    <w:p>
      <w:pPr>
        <w:spacing w:after="150"/>
      </w:pPr>
      <w:r>
        <w:t xml:space="preserve">Catálogo validado (RF-01, RF-02, RF-03, RNF-01, RNF-02).</w:t>
      </w:r>
    </w:p>
    <w:p>
      <w:pPr>
        <w:pStyle w:val="Heading2"/>
        <w:spacing w:after="120" w:before="250"/>
      </w:pPr>
      <w:r>
        <w:t xml:space="preserve">1. Entidades y atributos (mínimo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160"/>
      </w:tblGrid>
      <w:t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Entidad</w:t>
            </w:r>
          </w:p>
        </w:tc>
        <w:tc>
          <w:tcPr>
            <w:tcW w:type="dxa" w:w="4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Atributos principales</w:t>
            </w:r>
          </w:p>
        </w:tc>
        <w:tc>
          <w:tcPr>
            <w:tcW w:type="dxa" w:w="21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Origen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Producto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nombre, precio, stock, categoría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RF-01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Venta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fecha, cantidad, precioAlMomento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RF-02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 (empleado/dueña)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nombre, rol, contraseña (cifrada)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RNF-02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Categoria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nombre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RF-01 (implícita)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t xml:space="preserve">2. Relaciones, cardinalidad y modalidad (mínimo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500"/>
        <w:gridCol w:w="4260"/>
      </w:tblGrid>
      <w:tr>
        <w:tc>
          <w:tcPr>
            <w:tcW w:type="dxa" w:w="1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Entidad A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Entidad B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Cardinalidad</w:t>
            </w:r>
          </w:p>
        </w:tc>
        <w:tc>
          <w:tcPr>
            <w:tcW w:type="dxa" w:w="42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Modalidad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Venta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Obligatoria (una venta siempre referencia un producto)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N:1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Obligatoria (todo producto pertenece a una categoría)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Venta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1:N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Obligatoria (toda venta la registra un usuario)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t xml:space="preserve">3. Reglas de negocio (mínimo 3)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Una venta no puede registrarse si la cantidad solicitada supera el stock disponible.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stock de un producto no puede ser negativo en ningún momento.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precio registrado en una venta no cambia si el precio del producto se actualiza después.</w:t>
      </w:r>
    </w:p>
    <w:p>
      <w:pPr>
        <w:pStyle w:val="Heading2"/>
        <w:spacing w:after="120" w:before="250"/>
      </w:pPr>
      <w:r>
        <w:t xml:space="preserve">4. Glosario de lenguaje ubicuo (mínimo 5 términos)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Término</w:t>
            </w:r>
          </w:p>
        </w:tc>
        <w:tc>
          <w:tcPr>
            <w:tcW w:type="dxa" w:w="69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Definición compartida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Prenda individual gestionada en el inventario, con su propio stock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Venta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Registro de salida de uno o más productos por una transacción de mostrador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Stock bajo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Producto con menos de 10 unidades disponibles (umbral configurable)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Panel de resumen con las métricas clave del negocio para la dueña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Empleado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 del sistema que registra ventas en el mostrador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t xml:space="preserve">5. Diagrama de clases conceptual</w:t>
      </w:r>
    </w:p>
    <w:p>
      <w:pPr>
        <w:spacing w:after="150"/>
      </w:pPr>
      <w:r>
        <w:t xml:space="preserve">Referenciar en el repositorio del equipo: Producto 1..* — 1 Categoria; Producto 1 — 0..* Venta; Usuario 1 — 0..* Venta.</w:t>
      </w:r>
    </w:p>
    <w:p>
      <w:pPr>
        <w:pStyle w:val="Heading2"/>
        <w:spacing w:after="120" w:before="250"/>
      </w:pPr>
      <w:r>
        <w:t xml:space="preserve">6. Auditoría a la IA</w:t>
      </w:r>
    </w:p>
    <w:p>
      <w:pPr>
        <w:spacing w:after="150"/>
      </w:pPr>
      <w:r>
        <w:t xml:space="preserve">La IA propuso inicialmente una entidad "Proveedor" sin sustento en los requisitos validados; se descartó por no tener origen en el catálogo.</w:t>
      </w:r>
    </w:p>
    <w:p>
      <w:pPr>
        <w:pStyle w:val="Heading2"/>
        <w:spacing w:after="120" w:before="250"/>
      </w:pPr>
      <w:r>
        <w:t xml:space="preserve">D. Reflexión</w:t>
      </w:r>
    </w:p>
    <w:p>
      <w:pPr>
        <w:spacing w:after="150"/>
      </w:pPr>
      <w:r>
        <w:t xml:space="preserve">El modelo de dominio deja clara la diferencia entre "producto" y "categoría". Próximo paso: decidir qué partes requieren diagramas UML más detallados (FPI-10).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2026-10-05T02:32:13.683Z</dcterms:created>
  <dcterms:modified xsi:type="dcterms:W3CDTF">2026-10-05T02:32:13.683Z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