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11 — Diseño Interno: Cohesión, Acoplamiento y Principios SOLID</w:t>
      </w:r>
    </w:p>
    <w:p>
      <w:pPr>
        <w:spacing w:after="300"/>
      </w:pPr>
      <w:r>
        <w:rPr>
          <w:i/>
          <w:iCs/>
          <w:color w:val="555555"/>
        </w:rPr>
        <w:t xml:space="preserve">Proyecto integrador: StockCentral (Boutique El Manantial) — Taller resuelto y FPI-11</w:t>
      </w:r>
    </w:p>
    <w:p>
      <w:pPr>
        <w:pStyle w:val="Heading1"/>
        <w:spacing w:after="150" w:before="300"/>
      </w:pPr>
      <w:r>
        <w:t xml:space="preserve">Taller</w:t>
      </w:r>
    </w:p>
    <w:p>
      <w:pPr>
        <w:pStyle w:val="Heading2"/>
        <w:spacing w:after="120" w:before="250"/>
      </w:pPr>
      <w:r>
        <w:t xml:space="preserve">Ejercicio 1 — Cohesión vs acoplamiento (máx. 100 palabras)</w:t>
      </w:r>
    </w:p>
    <w:p>
      <w:pPr>
        <w:pBdr>
          <w:left w:val="single" w:color="888888" w:sz="12" w:space="8"/>
        </w:pBdr>
        <w:spacing w:after="150"/>
        <w:ind w:left="400"/>
      </w:pPr>
      <w:r>
        <w:rPr>
          <w:i/>
          <w:iCs/>
        </w:rPr>
        <w:t xml:space="preserve">La cohesión mide qué tan enfocadas están las responsabilidades dentro de una misma clase: una clase de alta cohesión hace una sola cosa y la hace bien. El acoplamiento mide qué tan dependiente es una clase de los detalles internos de otra: un acoplamiento fuerte significa que cambiar una clase obliga a modificar varias más. La meta es alta cohesión y bajo acoplamiento.</w:t>
      </w:r>
    </w:p>
    <w:p>
      <w:pPr>
        <w:pStyle w:val="Heading2"/>
        <w:spacing w:after="120" w:before="250"/>
      </w:pPr>
      <w:r>
        <w:t xml:space="preserve">Ejercicio 2 — Clase "GestorDeVentas" (valida stock, calcula impuestos, PDF, correo)</w:t>
      </w:r>
    </w:p>
    <w:p>
      <w:pPr>
        <w:pBdr>
          <w:left w:val="single" w:color="888888" w:sz="12" w:space="8"/>
        </w:pBdr>
        <w:spacing w:after="150"/>
        <w:ind w:left="400"/>
      </w:pPr>
      <w:r>
        <w:rPr>
          <w:i/>
          <w:iCs/>
        </w:rPr>
        <w:t xml:space="preserve">Viola el Principio de Responsabilidad Única (SRP): tiene cuatro razones distintas para cambiar. Se divide en: ValidadorStock, CalculadorImpuestos, GeneradorFacturaPDF y NotificadorCorreo, cada una con una sola responsabilidad.</w:t>
      </w:r>
    </w:p>
    <w:p>
      <w:pPr>
        <w:pStyle w:val="Heading2"/>
        <w:spacing w:after="120" w:before="250"/>
      </w:pPr>
      <w:r>
        <w:t xml:space="preserve">Ejercicio 3 — Cinco principios SOLID (violación y corrección)</w:t>
      </w:r>
    </w:p>
    <w:p>
      <w:pPr>
        <w:pStyle w:val="ListParagraph"/>
        <w:numPr>
          <w:ilvl w:val="0"/>
          <w:numId w:val="1"/>
        </w:numPr>
        <w:spacing w:after="80"/>
      </w:pPr>
      <w:r>
        <w:t xml:space="preserve">S: Empleado que además calcula nómina y genera reportes → se separa en Empleado, CalculadoraNomina, GeneradorReportes.</w:t>
      </w:r>
    </w:p>
    <w:p>
      <w:pPr>
        <w:pStyle w:val="ListParagraph"/>
        <w:numPr>
          <w:ilvl w:val="0"/>
          <w:numId w:val="1"/>
        </w:numPr>
        <w:spacing w:after="80"/>
      </w:pPr>
      <w:r>
        <w:t xml:space="preserve">O: if/else que crece con cada tipo nuevo → interfaz ReglaPrecio con clases concretas por tipo, extensible sin modificar código existente.</w:t>
      </w:r>
    </w:p>
    <w:p>
      <w:pPr>
        <w:pStyle w:val="ListParagraph"/>
        <w:numPr>
          <w:ilvl w:val="0"/>
          <w:numId w:val="1"/>
        </w:numPr>
        <w:spacing w:after="80"/>
      </w:pPr>
      <w:r>
        <w:t xml:space="preserve">L: Pinguino extends Ave que sobreescribe volar() lanzando excepción → se separa en AveQueVuela y AveQueNoVuela.</w:t>
      </w:r>
    </w:p>
    <w:p>
      <w:pPr>
        <w:pStyle w:val="ListParagraph"/>
        <w:numPr>
          <w:ilvl w:val="0"/>
          <w:numId w:val="1"/>
        </w:numPr>
        <w:spacing w:after="80"/>
      </w:pPr>
      <w:r>
        <w:t xml:space="preserve">I: interfaz Trabajador con programar(), probar(), administrarNomina() → se separa en Programador, Tester, Administrador.</w:t>
      </w:r>
    </w:p>
    <w:p>
      <w:pPr>
        <w:pStyle w:val="ListParagraph"/>
        <w:numPr>
          <w:ilvl w:val="0"/>
          <w:numId w:val="1"/>
        </w:numPr>
        <w:spacing w:after="80"/>
      </w:pPr>
      <w:r>
        <w:t xml:space="preserve">D: ServicioNotificacion instancia directamente EmailSender → depende de una interfaz CanalNotificacion.</w:t>
      </w:r>
    </w:p>
    <w:p>
      <w:pPr>
        <w:pStyle w:val="Heading2"/>
        <w:spacing w:after="120" w:before="250"/>
      </w:pPr>
      <w:r>
        <w:t xml:space="preserve">Ejercicio 4 — Caso de sobre-ingeniería</w:t>
      </w:r>
    </w:p>
    <w:p>
      <w:pPr>
        <w:pBdr>
          <w:left w:val="single" w:color="888888" w:sz="12" w:space="8"/>
        </w:pBdr>
        <w:spacing w:after="150"/>
        <w:ind w:left="400"/>
      </w:pPr>
      <w:r>
        <w:rPr>
          <w:i/>
          <w:iCs/>
        </w:rPr>
        <w:t xml:space="preserve">Crear interfaces IProductoRepository, IVentaRepository e IUsuarioRepository intercambiables "por si cambiamos de base de datos" en un MVP de 3 funcionalidades con datos JSON es sobre-ingeniería: añade abstracciones que no resuelven ningún problema real actual.</w:t>
      </w:r>
    </w:p>
    <w:p>
      <w:pPr>
        <w:pStyle w:val="Heading2"/>
        <w:spacing w:after="120" w:before="250"/>
      </w:pPr>
      <w:r>
        <w:t xml:space="preserve">Ejercicio 5 — Auditoría a la IA en refactorización</w:t>
      </w:r>
    </w:p>
    <w:p>
      <w:pPr>
        <w:spacing w:after="150"/>
      </w:pPr>
      <w:r>
        <w:t xml:space="preserve">Documenta tu prompt y respuesta reales. Verifica si la refactorización mejoró la cohesión real o solo fragmentó el código, y si introdujo interfaces innecesarias.</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Aplicar rigurosamente SOLID deja de ser buena práctica y se convierte en sobre-ingeniería cuando el costo de la abstracción supera el beneficio real de flexibilidad que el proyecto necesita hoy. Para un MVP estudiantil como StockCentral, crear una interfaz para cada clase "por si acaso" es invertir tiempo en flexibilidad que quizás nunca se use.</w:t>
      </w:r>
    </w:p>
    <w:p>
      <w:pPr>
        <w:pBdr>
          <w:left w:val="single" w:color="888888" w:sz="12" w:space="8"/>
        </w:pBdr>
        <w:spacing w:after="150"/>
        <w:ind w:left="400"/>
      </w:pPr>
      <w:r>
        <w:rPr>
          <w:i/>
          <w:iCs/>
        </w:rPr>
        <w:t xml:space="preserve">Nuestro equipo decide con criterio técnico: ¿esta clase realmente tiene más de una razón para cambiar en la práctica? En nuestro diseño aplicamos SRP dividiendo VentaService de la validación de stock, pero no creamos una interfaz para ProductoRepository porque no hay necesidad real de cambiar la fuente de datos JSON.</w:t>
      </w:r>
    </w:p>
    <w:p>
      <w:pPr>
        <w:spacing w:after="100"/>
      </w:pPr>
    </w:p>
    <w:p>
      <w:pPr>
        <w:pStyle w:val="Heading1"/>
        <w:spacing w:after="150" w:before="300"/>
      </w:pPr>
      <w:r>
        <w:t xml:space="preserve">Cuestionario — respuestas correctas</w:t>
      </w:r>
    </w:p>
    <w:p>
      <w:pPr>
        <w:spacing w:after="150"/>
      </w:pPr>
      <w:r>
        <w:t xml:space="preserve">1. B  ·  2. A  ·  3. A  ·  4. B  ·  5. B  ·  6. A  ·  7. B</w:t>
      </w:r>
    </w:p>
    <w:p>
      <w:pPr>
        <w:pStyle w:val="Heading1"/>
        <w:spacing w:after="150" w:before="300"/>
      </w:pPr>
      <w:r>
        <w:t xml:space="preserve">FPI-11 — Ficha diligenciada</w:t>
      </w:r>
    </w:p>
    <w:p>
      <w:pPr>
        <w:spacing w:after="150"/>
      </w:pPr>
      <w:r>
        <w:rPr>
          <w:b/>
          <w:bCs/>
        </w:rPr>
        <w:t xml:space="preserve">Recuperado de FPI-10: </w:t>
      </w:r>
    </w:p>
    <w:p>
      <w:pPr>
        <w:spacing w:after="150"/>
      </w:pPr>
      <w:r>
        <w:t xml:space="preserve">Diagrama de clases de diseño (Producto, Venta, VentaService).</w:t>
      </w:r>
    </w:p>
    <w:p>
      <w:pPr>
        <w:pStyle w:val="Heading2"/>
        <w:spacing w:after="120" w:before="250"/>
      </w:pPr>
      <w:r>
        <w:t xml:space="preserve">1. Evaluación de cohesión y acoplamiento (mínimo 3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shd w:fill="D9E2F3" w:val="clear"/>
            <w:tcMar>
              <w:top w:type="dxa" w:w="60"/>
              <w:left w:type="dxa" w:w="100"/>
              <w:bottom w:type="dxa" w:w="60"/>
              <w:right w:type="dxa" w:w="100"/>
            </w:tcMar>
          </w:tcPr>
          <w:p>
            <w:r>
              <w:rPr>
                <w:b/>
                <w:bCs/>
                <w:sz w:val="20"/>
                <w:szCs w:val="20"/>
              </w:rPr>
              <w:t xml:space="preserve">Clase</w:t>
            </w:r>
          </w:p>
        </w:tc>
        <w:tc>
          <w:tcPr>
            <w:tcW w:type="dxa" w:w="1400"/>
            <w:shd w:fill="D9E2F3" w:val="clear"/>
            <w:tcMar>
              <w:top w:type="dxa" w:w="60"/>
              <w:left w:type="dxa" w:w="100"/>
              <w:bottom w:type="dxa" w:w="60"/>
              <w:right w:type="dxa" w:w="100"/>
            </w:tcMar>
          </w:tcPr>
          <w:p>
            <w:r>
              <w:rPr>
                <w:b/>
                <w:bCs/>
                <w:sz w:val="20"/>
                <w:szCs w:val="20"/>
              </w:rPr>
              <w:t xml:space="preserve">Cohesión</w:t>
            </w:r>
          </w:p>
        </w:tc>
        <w:tc>
          <w:tcPr>
            <w:tcW w:type="dxa" w:w="1600"/>
            <w:shd w:fill="D9E2F3" w:val="clear"/>
            <w:tcMar>
              <w:top w:type="dxa" w:w="60"/>
              <w:left w:type="dxa" w:w="100"/>
              <w:bottom w:type="dxa" w:w="60"/>
              <w:right w:type="dxa" w:w="100"/>
            </w:tcMar>
          </w:tcPr>
          <w:p>
            <w:r>
              <w:rPr>
                <w:b/>
                <w:bCs/>
                <w:sz w:val="20"/>
                <w:szCs w:val="20"/>
              </w:rPr>
              <w:t xml:space="preserve">Acoplamiento</w:t>
            </w:r>
          </w:p>
        </w:tc>
        <w:tc>
          <w:tcPr>
            <w:tcW w:type="dxa" w:w="4160"/>
            <w:shd w:fill="D9E2F3" w:val="clear"/>
            <w:tcMar>
              <w:top w:type="dxa" w:w="60"/>
              <w:left w:type="dxa" w:w="100"/>
              <w:bottom w:type="dxa" w:w="60"/>
              <w:right w:type="dxa" w:w="100"/>
            </w:tcMar>
          </w:tcPr>
          <w:p>
            <w:r>
              <w:rPr>
                <w:b/>
                <w:bCs/>
                <w:sz w:val="20"/>
                <w:szCs w:val="20"/>
              </w:rPr>
              <w:t xml:space="preserve">Observación</w:t>
            </w:r>
          </w:p>
        </w:tc>
      </w:tr>
      <w:tr>
        <w:tc>
          <w:tcPr>
            <w:tcW w:type="dxa" w:w="2200"/>
            <w:tcMar>
              <w:top w:type="dxa" w:w="60"/>
              <w:left w:type="dxa" w:w="100"/>
              <w:bottom w:type="dxa" w:w="60"/>
              <w:right w:type="dxa" w:w="100"/>
            </w:tcMar>
          </w:tcPr>
          <w:p>
            <w:r>
              <w:rPr>
                <w:b w:val="false"/>
                <w:bCs w:val="false"/>
                <w:sz w:val="20"/>
                <w:szCs w:val="20"/>
              </w:rPr>
              <w:t xml:space="preserve">Producto</w:t>
            </w:r>
          </w:p>
        </w:tc>
        <w:tc>
          <w:tcPr>
            <w:tcW w:type="dxa" w:w="1400"/>
            <w:tcMar>
              <w:top w:type="dxa" w:w="60"/>
              <w:left w:type="dxa" w:w="100"/>
              <w:bottom w:type="dxa" w:w="60"/>
              <w:right w:type="dxa" w:w="100"/>
            </w:tcMar>
          </w:tcPr>
          <w:p>
            <w:r>
              <w:rPr>
                <w:b w:val="false"/>
                <w:bCs w:val="false"/>
                <w:sz w:val="20"/>
                <w:szCs w:val="20"/>
              </w:rPr>
              <w:t xml:space="preserve">Alta</w:t>
            </w:r>
          </w:p>
        </w:tc>
        <w:tc>
          <w:tcPr>
            <w:tcW w:type="dxa" w:w="1600"/>
            <w:tcMar>
              <w:top w:type="dxa" w:w="60"/>
              <w:left w:type="dxa" w:w="100"/>
              <w:bottom w:type="dxa" w:w="60"/>
              <w:right w:type="dxa" w:w="100"/>
            </w:tcMar>
          </w:tcPr>
          <w:p>
            <w:r>
              <w:rPr>
                <w:b w:val="false"/>
                <w:bCs w:val="false"/>
                <w:sz w:val="20"/>
                <w:szCs w:val="20"/>
              </w:rPr>
              <w:t xml:space="preserve">Débil</w:t>
            </w:r>
          </w:p>
        </w:tc>
        <w:tc>
          <w:tcPr>
            <w:tcW w:type="dxa" w:w="4160"/>
            <w:tcMar>
              <w:top w:type="dxa" w:w="60"/>
              <w:left w:type="dxa" w:w="100"/>
              <w:bottom w:type="dxa" w:w="60"/>
              <w:right w:type="dxa" w:w="100"/>
            </w:tcMar>
          </w:tcPr>
          <w:p>
            <w:r>
              <w:rPr>
                <w:b w:val="false"/>
                <w:bCs w:val="false"/>
                <w:sz w:val="20"/>
                <w:szCs w:val="20"/>
              </w:rPr>
              <w:t xml:space="preserve">Solo gestiona sus propios datos y la validación de su propio stock</w:t>
            </w:r>
          </w:p>
        </w:tc>
      </w:tr>
      <w:tr>
        <w:tc>
          <w:tcPr>
            <w:tcW w:type="dxa" w:w="2200"/>
            <w:tcMar>
              <w:top w:type="dxa" w:w="60"/>
              <w:left w:type="dxa" w:w="100"/>
              <w:bottom w:type="dxa" w:w="60"/>
              <w:right w:type="dxa" w:w="100"/>
            </w:tcMar>
          </w:tcPr>
          <w:p>
            <w:r>
              <w:rPr>
                <w:b w:val="false"/>
                <w:bCs w:val="false"/>
                <w:sz w:val="20"/>
                <w:szCs w:val="20"/>
              </w:rPr>
              <w:t xml:space="preserve">VentaService (inicial)</w:t>
            </w:r>
          </w:p>
        </w:tc>
        <w:tc>
          <w:tcPr>
            <w:tcW w:type="dxa" w:w="1400"/>
            <w:tcMar>
              <w:top w:type="dxa" w:w="60"/>
              <w:left w:type="dxa" w:w="100"/>
              <w:bottom w:type="dxa" w:w="60"/>
              <w:right w:type="dxa" w:w="100"/>
            </w:tcMar>
          </w:tcPr>
          <w:p>
            <w:r>
              <w:rPr>
                <w:b w:val="false"/>
                <w:bCs w:val="false"/>
                <w:sz w:val="20"/>
                <w:szCs w:val="20"/>
              </w:rPr>
              <w:t xml:space="preserve">Media</w:t>
            </w:r>
          </w:p>
        </w:tc>
        <w:tc>
          <w:tcPr>
            <w:tcW w:type="dxa" w:w="1600"/>
            <w:tcMar>
              <w:top w:type="dxa" w:w="60"/>
              <w:left w:type="dxa" w:w="100"/>
              <w:bottom w:type="dxa" w:w="60"/>
              <w:right w:type="dxa" w:w="100"/>
            </w:tcMar>
          </w:tcPr>
          <w:p>
            <w:r>
              <w:rPr>
                <w:b w:val="false"/>
                <w:bCs w:val="false"/>
                <w:sz w:val="20"/>
                <w:szCs w:val="20"/>
              </w:rPr>
              <w:t xml:space="preserve">Fuerte</w:t>
            </w:r>
          </w:p>
        </w:tc>
        <w:tc>
          <w:tcPr>
            <w:tcW w:type="dxa" w:w="4160"/>
            <w:tcMar>
              <w:top w:type="dxa" w:w="60"/>
              <w:left w:type="dxa" w:w="100"/>
              <w:bottom w:type="dxa" w:w="60"/>
              <w:right w:type="dxa" w:w="100"/>
            </w:tcMar>
          </w:tcPr>
          <w:p>
            <w:r>
              <w:rPr>
                <w:b w:val="false"/>
                <w:bCs w:val="false"/>
                <w:sz w:val="20"/>
                <w:szCs w:val="20"/>
              </w:rPr>
              <w:t xml:space="preserve">Accedía directamente a atributos internos de Producto (Feature Envy)</w:t>
            </w:r>
          </w:p>
        </w:tc>
      </w:tr>
      <w:tr>
        <w:tc>
          <w:tcPr>
            <w:tcW w:type="dxa" w:w="2200"/>
            <w:tcMar>
              <w:top w:type="dxa" w:w="60"/>
              <w:left w:type="dxa" w:w="100"/>
              <w:bottom w:type="dxa" w:w="60"/>
              <w:right w:type="dxa" w:w="100"/>
            </w:tcMar>
          </w:tcPr>
          <w:p>
            <w:r>
              <w:rPr>
                <w:b w:val="false"/>
                <w:bCs w:val="false"/>
                <w:sz w:val="20"/>
                <w:szCs w:val="20"/>
              </w:rPr>
              <w:t xml:space="preserve">ProductoController</w:t>
            </w:r>
          </w:p>
        </w:tc>
        <w:tc>
          <w:tcPr>
            <w:tcW w:type="dxa" w:w="1400"/>
            <w:tcMar>
              <w:top w:type="dxa" w:w="60"/>
              <w:left w:type="dxa" w:w="100"/>
              <w:bottom w:type="dxa" w:w="60"/>
              <w:right w:type="dxa" w:w="100"/>
            </w:tcMar>
          </w:tcPr>
          <w:p>
            <w:r>
              <w:rPr>
                <w:b w:val="false"/>
                <w:bCs w:val="false"/>
                <w:sz w:val="20"/>
                <w:szCs w:val="20"/>
              </w:rPr>
              <w:t xml:space="preserve">Alta</w:t>
            </w:r>
          </w:p>
        </w:tc>
        <w:tc>
          <w:tcPr>
            <w:tcW w:type="dxa" w:w="1600"/>
            <w:tcMar>
              <w:top w:type="dxa" w:w="60"/>
              <w:left w:type="dxa" w:w="100"/>
              <w:bottom w:type="dxa" w:w="60"/>
              <w:right w:type="dxa" w:w="100"/>
            </w:tcMar>
          </w:tcPr>
          <w:p>
            <w:r>
              <w:rPr>
                <w:b w:val="false"/>
                <w:bCs w:val="false"/>
                <w:sz w:val="20"/>
                <w:szCs w:val="20"/>
              </w:rPr>
              <w:t xml:space="preserve">Débil</w:t>
            </w:r>
          </w:p>
        </w:tc>
        <w:tc>
          <w:tcPr>
            <w:tcW w:type="dxa" w:w="4160"/>
            <w:tcMar>
              <w:top w:type="dxa" w:w="60"/>
              <w:left w:type="dxa" w:w="100"/>
              <w:bottom w:type="dxa" w:w="60"/>
              <w:right w:type="dxa" w:w="100"/>
            </w:tcMar>
          </w:tcPr>
          <w:p>
            <w:r>
              <w:rPr>
                <w:b w:val="false"/>
                <w:bCs w:val="false"/>
                <w:sz w:val="20"/>
                <w:szCs w:val="20"/>
              </w:rPr>
              <w:t xml:space="preserve">Solo orquesta peticiones HTTP, sin lógica de negocio propia</w:t>
            </w:r>
          </w:p>
        </w:tc>
      </w:tr>
    </w:tbl>
    <w:p>
      <w:pPr>
        <w:spacing w:after="100"/>
      </w:pPr>
    </w:p>
    <w:p>
      <w:pPr>
        <w:pStyle w:val="Heading2"/>
        <w:spacing w:after="120" w:before="250"/>
      </w:pPr>
      <w:r>
        <w:t xml:space="preserve">2. Violaciones SOLID detectadas y refactorización (mínimo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160"/>
        <w:gridCol w:w="3000"/>
      </w:tblGrid>
      <w:tr>
        <w:tc>
          <w:tcPr>
            <w:tcW w:type="dxa" w:w="1800"/>
            <w:shd w:fill="D9E2F3" w:val="clear"/>
            <w:tcMar>
              <w:top w:type="dxa" w:w="60"/>
              <w:left w:type="dxa" w:w="100"/>
              <w:bottom w:type="dxa" w:w="60"/>
              <w:right w:type="dxa" w:w="100"/>
            </w:tcMar>
          </w:tcPr>
          <w:p>
            <w:r>
              <w:rPr>
                <w:b/>
                <w:bCs/>
                <w:sz w:val="20"/>
                <w:szCs w:val="20"/>
              </w:rPr>
              <w:t xml:space="preserve">Clase</w:t>
            </w:r>
          </w:p>
        </w:tc>
        <w:tc>
          <w:tcPr>
            <w:tcW w:type="dxa" w:w="1400"/>
            <w:shd w:fill="D9E2F3" w:val="clear"/>
            <w:tcMar>
              <w:top w:type="dxa" w:w="60"/>
              <w:left w:type="dxa" w:w="100"/>
              <w:bottom w:type="dxa" w:w="60"/>
              <w:right w:type="dxa" w:w="100"/>
            </w:tcMar>
          </w:tcPr>
          <w:p>
            <w:r>
              <w:rPr>
                <w:b/>
                <w:bCs/>
                <w:sz w:val="20"/>
                <w:szCs w:val="20"/>
              </w:rPr>
              <w:t xml:space="preserve">Principio violado</w:t>
            </w:r>
          </w:p>
        </w:tc>
        <w:tc>
          <w:tcPr>
            <w:tcW w:type="dxa" w:w="3160"/>
            <w:shd w:fill="D9E2F3" w:val="clear"/>
            <w:tcMar>
              <w:top w:type="dxa" w:w="60"/>
              <w:left w:type="dxa" w:w="100"/>
              <w:bottom w:type="dxa" w:w="60"/>
              <w:right w:type="dxa" w:w="100"/>
            </w:tcMar>
          </w:tcPr>
          <w:p>
            <w:r>
              <w:rPr>
                <w:b/>
                <w:bCs/>
                <w:sz w:val="20"/>
                <w:szCs w:val="20"/>
              </w:rPr>
              <w:t xml:space="preserve">Descripción</w:t>
            </w:r>
          </w:p>
        </w:tc>
        <w:tc>
          <w:tcPr>
            <w:tcW w:type="dxa" w:w="3000"/>
            <w:shd w:fill="D9E2F3" w:val="clear"/>
            <w:tcMar>
              <w:top w:type="dxa" w:w="60"/>
              <w:left w:type="dxa" w:w="100"/>
              <w:bottom w:type="dxa" w:w="60"/>
              <w:right w:type="dxa" w:w="100"/>
            </w:tcMar>
          </w:tcPr>
          <w:p>
            <w:r>
              <w:rPr>
                <w:b/>
                <w:bCs/>
                <w:sz w:val="20"/>
                <w:szCs w:val="20"/>
              </w:rPr>
              <w:t xml:space="preserve">Refactorización</w:t>
            </w:r>
          </w:p>
        </w:tc>
      </w:tr>
      <w:tr>
        <w:tc>
          <w:tcPr>
            <w:tcW w:type="dxa" w:w="1800"/>
            <w:tcMar>
              <w:top w:type="dxa" w:w="60"/>
              <w:left w:type="dxa" w:w="100"/>
              <w:bottom w:type="dxa" w:w="60"/>
              <w:right w:type="dxa" w:w="100"/>
            </w:tcMar>
          </w:tcPr>
          <w:p>
            <w:r>
              <w:rPr>
                <w:b w:val="false"/>
                <w:bCs w:val="false"/>
                <w:sz w:val="20"/>
                <w:szCs w:val="20"/>
              </w:rPr>
              <w:t xml:space="preserve">VentaService</w:t>
            </w:r>
          </w:p>
        </w:tc>
        <w:tc>
          <w:tcPr>
            <w:tcW w:type="dxa" w:w="1400"/>
            <w:tcMar>
              <w:top w:type="dxa" w:w="60"/>
              <w:left w:type="dxa" w:w="100"/>
              <w:bottom w:type="dxa" w:w="60"/>
              <w:right w:type="dxa" w:w="100"/>
            </w:tcMar>
          </w:tcPr>
          <w:p>
            <w:r>
              <w:rPr>
                <w:b w:val="false"/>
                <w:bCs w:val="false"/>
                <w:sz w:val="20"/>
                <w:szCs w:val="20"/>
              </w:rPr>
              <w:t xml:space="preserve">S (SRP)</w:t>
            </w:r>
          </w:p>
        </w:tc>
        <w:tc>
          <w:tcPr>
            <w:tcW w:type="dxa" w:w="3160"/>
            <w:tcMar>
              <w:top w:type="dxa" w:w="60"/>
              <w:left w:type="dxa" w:w="100"/>
              <w:bottom w:type="dxa" w:w="60"/>
              <w:right w:type="dxa" w:w="100"/>
            </w:tcMar>
          </w:tcPr>
          <w:p>
            <w:r>
              <w:rPr>
                <w:b w:val="false"/>
                <w:bCs w:val="false"/>
                <w:sz w:val="20"/>
                <w:szCs w:val="20"/>
              </w:rPr>
              <w:t xml:space="preserve">Calculaba total, validaba stock y registraba venta en un mismo método</w:t>
            </w:r>
          </w:p>
        </w:tc>
        <w:tc>
          <w:tcPr>
            <w:tcW w:type="dxa" w:w="3000"/>
            <w:tcMar>
              <w:top w:type="dxa" w:w="60"/>
              <w:left w:type="dxa" w:w="100"/>
              <w:bottom w:type="dxa" w:w="60"/>
              <w:right w:type="dxa" w:w="100"/>
            </w:tcMar>
          </w:tcPr>
          <w:p>
            <w:r>
              <w:rPr>
                <w:b w:val="false"/>
                <w:bCs w:val="false"/>
                <w:sz w:val="20"/>
                <w:szCs w:val="20"/>
              </w:rPr>
              <w:t xml:space="preserve">Se separó la validación de stock a Producto.tieneStockSuficiente()</w:t>
            </w:r>
          </w:p>
        </w:tc>
      </w:tr>
      <w:tr>
        <w:tc>
          <w:tcPr>
            <w:tcW w:type="dxa" w:w="1800"/>
            <w:tcMar>
              <w:top w:type="dxa" w:w="60"/>
              <w:left w:type="dxa" w:w="100"/>
              <w:bottom w:type="dxa" w:w="60"/>
              <w:right w:type="dxa" w:w="100"/>
            </w:tcMar>
          </w:tcPr>
          <w:p>
            <w:r>
              <w:rPr>
                <w:b w:val="false"/>
                <w:bCs w:val="false"/>
                <w:sz w:val="20"/>
                <w:szCs w:val="20"/>
              </w:rPr>
              <w:t xml:space="preserve">DashboardController</w:t>
            </w:r>
          </w:p>
        </w:tc>
        <w:tc>
          <w:tcPr>
            <w:tcW w:type="dxa" w:w="1400"/>
            <w:tcMar>
              <w:top w:type="dxa" w:w="60"/>
              <w:left w:type="dxa" w:w="100"/>
              <w:bottom w:type="dxa" w:w="60"/>
              <w:right w:type="dxa" w:w="100"/>
            </w:tcMar>
          </w:tcPr>
          <w:p>
            <w:r>
              <w:rPr>
                <w:b w:val="false"/>
                <w:bCs w:val="false"/>
                <w:sz w:val="20"/>
                <w:szCs w:val="20"/>
              </w:rPr>
              <w:t xml:space="preserve">S (SRP)</w:t>
            </w:r>
          </w:p>
        </w:tc>
        <w:tc>
          <w:tcPr>
            <w:tcW w:type="dxa" w:w="3160"/>
            <w:tcMar>
              <w:top w:type="dxa" w:w="60"/>
              <w:left w:type="dxa" w:w="100"/>
              <w:bottom w:type="dxa" w:w="60"/>
              <w:right w:type="dxa" w:w="100"/>
            </w:tcMar>
          </w:tcPr>
          <w:p>
            <w:r>
              <w:rPr>
                <w:b w:val="false"/>
                <w:bCs w:val="false"/>
                <w:sz w:val="20"/>
                <w:szCs w:val="20"/>
              </w:rPr>
              <w:t xml:space="preserve">Calculaba métricas directamente en el controlador</w:t>
            </w:r>
          </w:p>
        </w:tc>
        <w:tc>
          <w:tcPr>
            <w:tcW w:type="dxa" w:w="3000"/>
            <w:tcMar>
              <w:top w:type="dxa" w:w="60"/>
              <w:left w:type="dxa" w:w="100"/>
              <w:bottom w:type="dxa" w:w="60"/>
              <w:right w:type="dxa" w:w="100"/>
            </w:tcMar>
          </w:tcPr>
          <w:p>
            <w:r>
              <w:rPr>
                <w:b w:val="false"/>
                <w:bCs w:val="false"/>
                <w:sz w:val="20"/>
                <w:szCs w:val="20"/>
              </w:rPr>
              <w:t xml:space="preserve">Se creó DashboardService encargado de las métricas</w:t>
            </w:r>
          </w:p>
        </w:tc>
      </w:tr>
    </w:tbl>
    <w:p>
      <w:pPr>
        <w:spacing w:after="100"/>
      </w:pPr>
    </w:p>
    <w:p>
      <w:pPr>
        <w:pStyle w:val="Heading2"/>
        <w:spacing w:after="120" w:before="250"/>
      </w:pPr>
      <w:r>
        <w:t xml:space="preserve">3. Justificación de no aplicar SOLID en algún caso</w:t>
      </w:r>
    </w:p>
    <w:p>
      <w:pPr>
        <w:pBdr>
          <w:left w:val="single" w:color="888888" w:sz="12" w:space="8"/>
        </w:pBdr>
        <w:spacing w:after="150"/>
        <w:ind w:left="400"/>
      </w:pPr>
      <w:r>
        <w:rPr>
          <w:i/>
          <w:iCs/>
        </w:rPr>
        <w:t xml:space="preserve">El equipo decidió no crear una interfaz IProductoRepository para múltiples fuentes de datos intercambiables, porque el MVP usa datos JSON simulados y no existe necesidad real de cambiar esa fuente en el corto plazo.</w:t>
      </w:r>
    </w:p>
    <w:p>
      <w:pPr>
        <w:pStyle w:val="Heading2"/>
        <w:spacing w:after="120" w:before="250"/>
      </w:pPr>
      <w:r>
        <w:t xml:space="preserve">4. Auditoría a la IA</w:t>
      </w:r>
    </w:p>
    <w:p>
      <w:pPr>
        <w:spacing w:after="150"/>
      </w:pPr>
      <w:r>
        <w:t xml:space="preserve">La IA sugirió crear interfaces para cada servicio "por buenas prácticas" sin justificar necesidad real de extensión; se rechazó por ser sobre-ingeniería para el alcance del MVP.</w:t>
      </w:r>
    </w:p>
    <w:p>
      <w:pPr>
        <w:pStyle w:val="Heading2"/>
        <w:spacing w:after="120" w:before="250"/>
      </w:pPr>
      <w:r>
        <w:t xml:space="preserve">D. Reflexión</w:t>
      </w:r>
    </w:p>
    <w:p>
      <w:pPr>
        <w:spacing w:after="150"/>
      </w:pPr>
      <w:r>
        <w:t xml:space="preserve">SOLID es una heurística que se aplica donde reduce el costo real de cambio, no una checklist obligatoria. Próximo paso: auditar la calidad del código construido (FPI-12).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2026-10-05T02:32:14.024Z</dcterms:created>
  <dcterms:modified xsi:type="dcterms:W3CDTF">2026-10-05T02:32:14.024Z</dcterms:modified>
</cp:coreProperties>
</file>

<file path=docProps/custom.xml><?xml version="1.0" encoding="utf-8"?>
<Properties xmlns="http://schemas.openxmlformats.org/officeDocument/2006/custom-properties" xmlns:vt="http://schemas.openxmlformats.org/officeDocument/2006/docPropsVTypes"/>
</file>