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Guía 12 — Clean Code, Code Smells, Refactoring y Deuda Técnica</w:t>
      </w:r>
    </w:p>
    <w:p>
      <w:pPr>
        <w:spacing w:after="300"/>
      </w:pPr>
      <w:r>
        <w:rPr>
          <w:i/>
          <w:iCs/>
          <w:color w:val="555555"/>
        </w:rPr>
        <w:t xml:space="preserve">Proyecto integrador: StockCentral (Boutique El Manantial) — Taller resuelto y FPI-12</w:t>
      </w:r>
    </w:p>
    <w:p>
      <w:pPr>
        <w:pStyle w:val="Heading1"/>
        <w:spacing w:after="150" w:before="300"/>
      </w:pPr>
      <w:r>
        <w:t xml:space="preserve">Taller</w:t>
      </w:r>
    </w:p>
    <w:p>
      <w:pPr>
        <w:pStyle w:val="Heading2"/>
        <w:spacing w:after="120" w:before="250"/>
      </w:pPr>
      <w:r>
        <w:t xml:space="preserve">Ejercicio 1 — Code Smell vs bug (máx. 100 palabras)</w:t>
      </w:r>
    </w:p>
    <w:p>
      <w:pPr>
        <w:pBdr>
          <w:left w:val="single" w:color="888888" w:sz="12" w:space="8"/>
        </w:pBdr>
        <w:spacing w:after="150"/>
        <w:ind w:left="400"/>
      </w:pPr>
      <w:r>
        <w:rPr>
          <w:i/>
          <w:iCs/>
        </w:rPr>
        <w:t xml:space="preserve">Un Code Smell no es un error que hace fallar el programa (eso es un bug); es un síntoma superficial de que el diseño interno podría estar mal, aunque el código funcione hoy. Una función de 200 líneas que hace 5 cosas puede pasar todas las pruebas (no es bug), pero es difícil de mantener (sí es code smell).</w:t>
      </w:r>
    </w:p>
    <w:p>
      <w:pPr>
        <w:pStyle w:val="Heading2"/>
        <w:spacing w:after="120" w:before="250"/>
      </w:pPr>
      <w:r>
        <w:t xml:space="preserve">Ejercicio 2 — Refactorización con Clean Code</w:t>
      </w:r>
    </w:p>
    <w:p>
      <w:pPr>
        <w:spacing w:after="150"/>
      </w:pPr>
      <w:r>
        <w:t xml:space="preserve">Antes: def calc(x, temp): dato1 = x * temp; return dato1</w:t>
      </w:r>
    </w:p>
    <w:p>
      <w:pPr>
        <w:spacing w:after="150"/>
      </w:pPr>
      <w:r>
        <w:t xml:space="preserve">Después: def calcular_total_con_impuesto(precio, tasa_impuesto): total_con_impuesto = precio * tasa_impuesto; return total_con_impuesto</w:t>
      </w:r>
    </w:p>
    <w:p>
      <w:pPr>
        <w:pStyle w:val="Heading2"/>
        <w:spacing w:after="120" w:before="250"/>
      </w:pPr>
      <w:r>
        <w:t xml:space="preserve">Ejercicio 3 — Feature Envy y Move Method</w:t>
      </w:r>
    </w:p>
    <w:p>
      <w:pPr>
        <w:spacing w:after="150"/>
      </w:pPr>
      <w:r>
        <w:t xml:space="preserve">Antes: VentaService.puedeVender(Producto p, int cantidad) usa p.getStock() — accede más a datos de Producto que propios.</w:t>
      </w:r>
    </w:p>
    <w:p>
      <w:pPr>
        <w:spacing w:after="150"/>
      </w:pPr>
      <w:r>
        <w:t xml:space="preserve">Después: el método se mueve a Producto.tieneStockSuficiente(cantidad), dueño real de los datos.</w:t>
      </w:r>
    </w:p>
    <w:p>
      <w:pPr>
        <w:pStyle w:val="Heading2"/>
        <w:spacing w:after="120" w:before="250"/>
      </w:pPr>
      <w:r>
        <w:t xml:space="preserve">Ejercicio 4 — Deuda técnica clasificada</w:t>
      </w:r>
    </w:p>
    <w:p>
      <w:pPr>
        <w:pBdr>
          <w:left w:val="single" w:color="888888" w:sz="12" w:space="8"/>
        </w:pBdr>
        <w:spacing w:after="150"/>
        <w:ind w:left="400"/>
      </w:pPr>
      <w:r>
        <w:rPr>
          <w:i/>
          <w:iCs/>
        </w:rPr>
        <w:t xml:space="preserve">Atajo hipotético: guardar la contraseña del administrador en texto plano "por ahora". Clasificación: Deliberada e imprudente — el equipo sabe que es mala práctica, y si no lo documenta ni planea corregirlo, es un riesgo alto sin control.</w:t>
      </w:r>
    </w:p>
    <w:p>
      <w:pPr>
        <w:pStyle w:val="Heading2"/>
        <w:spacing w:after="120" w:before="250"/>
      </w:pPr>
      <w:r>
        <w:t xml:space="preserve">Ejercicio 5 — Auditoría a la IA en refactorización</w:t>
      </w:r>
    </w:p>
    <w:p>
      <w:pPr>
        <w:spacing w:after="150"/>
      </w:pPr>
      <w:r>
        <w:t xml:space="preserve">Documenta tu prompt y respuesta reales. Verifica si la refactorización mejoró la legibilidad real o solo reorganizó el código sin resolver el problema de fondo.</w:t>
      </w:r>
    </w:p>
    <w:p>
      <w:pPr>
        <w:pStyle w:val="Heading1"/>
        <w:spacing w:after="150" w:before="300"/>
      </w:pPr>
      <w:r>
        <w:t xml:space="preserve">Foro de reflexión (borrador, 250–300 palabras)</w:t>
      </w:r>
    </w:p>
    <w:p>
      <w:pPr>
        <w:pBdr>
          <w:left w:val="single" w:color="888888" w:sz="12" w:space="8"/>
        </w:pBdr>
        <w:spacing w:after="150"/>
        <w:ind w:left="400"/>
      </w:pPr>
      <w:r>
        <w:rPr>
          <w:i/>
          <w:iCs/>
        </w:rPr>
        <w:t xml:space="preserve">Un código que pasa todas las pruebas y "funciona" puede seguir siendo un problema grave de ingeniería, porque las pruebas verifican comportamiento externo, no la calidad interna del diseño. Un método de 150 líneas con lógica duplicada puede superar las pruebas actuales, pero cada modificación futura aumenta el riesgo de introducir un error.</w:t>
      </w:r>
    </w:p>
    <w:p>
      <w:pPr>
        <w:pBdr>
          <w:left w:val="single" w:color="888888" w:sz="12" w:space="8"/>
        </w:pBdr>
        <w:spacing w:after="150"/>
        <w:ind w:left="400"/>
      </w:pPr>
      <w:r>
        <w:rPr>
          <w:i/>
          <w:iCs/>
        </w:rPr>
        <w:t xml:space="preserve">La diferencia de riesgo entre deuda técnica deliberada y documentada frente a una inadvertida e imprudente es enorme: la primera tiene un plan de pago consciente; la segunda es un riesgo oculto que puede acumularse hasta volverse muy costoso.</w:t>
      </w:r>
    </w:p>
    <w:p>
      <w:pPr>
        <w:spacing w:after="100"/>
      </w:pPr>
    </w:p>
    <w:p>
      <w:pPr>
        <w:pStyle w:val="Heading1"/>
        <w:spacing w:after="150" w:before="300"/>
      </w:pPr>
      <w:r>
        <w:t xml:space="preserve">Cuestionario — respuestas correctas</w:t>
      </w:r>
    </w:p>
    <w:p>
      <w:pPr>
        <w:spacing w:after="150"/>
      </w:pPr>
      <w:r>
        <w:t xml:space="preserve">1. B  ·  2. B  ·  3. B  ·  4. B  ·  5. B  ·  6. A  ·  7. B</w:t>
      </w:r>
    </w:p>
    <w:p>
      <w:pPr>
        <w:pStyle w:val="Heading1"/>
        <w:spacing w:after="150" w:before="300"/>
      </w:pPr>
      <w:r>
        <w:t xml:space="preserve">FPI-12 — Ficha diligenciada</w:t>
      </w:r>
    </w:p>
    <w:p>
      <w:pPr>
        <w:spacing w:after="150"/>
      </w:pPr>
      <w:r>
        <w:rPr>
          <w:b/>
          <w:bCs/>
        </w:rPr>
        <w:t xml:space="preserve">Recuperado de FPI-11: </w:t>
      </w:r>
    </w:p>
    <w:p>
      <w:pPr>
        <w:spacing w:after="150"/>
      </w:pPr>
      <w:r>
        <w:t xml:space="preserve">Clases centrales auditadas: Producto, VentaService.</w:t>
      </w:r>
    </w:p>
    <w:p>
      <w:pPr>
        <w:pStyle w:val="Heading2"/>
        <w:spacing w:after="120" w:before="250"/>
      </w:pPr>
      <w:r>
        <w:t xml:space="preserve">1. Code smells identificados (mínimo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160"/>
        <w:gridCol w:w="2800"/>
      </w:tblGrid>
      <w:tr>
        <w:tc>
          <w:tcPr>
            <w:tcW w:type="dxa" w:w="1800"/>
            <w:shd w:fill="D9E2F3" w:val="clear"/>
            <w:tcMar>
              <w:top w:type="dxa" w:w="60"/>
              <w:left w:type="dxa" w:w="100"/>
              <w:bottom w:type="dxa" w:w="60"/>
              <w:right w:type="dxa" w:w="100"/>
            </w:tcMar>
          </w:tcPr>
          <w:p>
            <w:r>
              <w:rPr>
                <w:b/>
                <w:bCs/>
                <w:sz w:val="20"/>
                <w:szCs w:val="20"/>
              </w:rPr>
              <w:t xml:space="preserve">Archivo/módulo</w:t>
            </w:r>
          </w:p>
        </w:tc>
        <w:tc>
          <w:tcPr>
            <w:tcW w:type="dxa" w:w="1600"/>
            <w:shd w:fill="D9E2F3" w:val="clear"/>
            <w:tcMar>
              <w:top w:type="dxa" w:w="60"/>
              <w:left w:type="dxa" w:w="100"/>
              <w:bottom w:type="dxa" w:w="60"/>
              <w:right w:type="dxa" w:w="100"/>
            </w:tcMar>
          </w:tcPr>
          <w:p>
            <w:r>
              <w:rPr>
                <w:b/>
                <w:bCs/>
                <w:sz w:val="20"/>
                <w:szCs w:val="20"/>
              </w:rPr>
              <w:t xml:space="preserve">Code smell</w:t>
            </w:r>
          </w:p>
        </w:tc>
        <w:tc>
          <w:tcPr>
            <w:tcW w:type="dxa" w:w="3160"/>
            <w:shd w:fill="D9E2F3" w:val="clear"/>
            <w:tcMar>
              <w:top w:type="dxa" w:w="60"/>
              <w:left w:type="dxa" w:w="100"/>
              <w:bottom w:type="dxa" w:w="60"/>
              <w:right w:type="dxa" w:w="100"/>
            </w:tcMar>
          </w:tcPr>
          <w:p>
            <w:r>
              <w:rPr>
                <w:b/>
                <w:bCs/>
                <w:sz w:val="20"/>
                <w:szCs w:val="20"/>
              </w:rPr>
              <w:t xml:space="preserve">Descripción</w:t>
            </w:r>
          </w:p>
        </w:tc>
        <w:tc>
          <w:tcPr>
            <w:tcW w:type="dxa" w:w="2800"/>
            <w:shd w:fill="D9E2F3" w:val="clear"/>
            <w:tcMar>
              <w:top w:type="dxa" w:w="60"/>
              <w:left w:type="dxa" w:w="100"/>
              <w:bottom w:type="dxa" w:w="60"/>
              <w:right w:type="dxa" w:w="100"/>
            </w:tcMar>
          </w:tcPr>
          <w:p>
            <w:r>
              <w:rPr>
                <w:b/>
                <w:bCs/>
                <w:sz w:val="20"/>
                <w:szCs w:val="20"/>
              </w:rPr>
              <w:t xml:space="preserve">Refactorización</w:t>
            </w:r>
          </w:p>
        </w:tc>
      </w:tr>
      <w:tr>
        <w:tc>
          <w:tcPr>
            <w:tcW w:type="dxa" w:w="1800"/>
            <w:tcMar>
              <w:top w:type="dxa" w:w="60"/>
              <w:left w:type="dxa" w:w="100"/>
              <w:bottom w:type="dxa" w:w="60"/>
              <w:right w:type="dxa" w:w="100"/>
            </w:tcMar>
          </w:tcPr>
          <w:p>
            <w:r>
              <w:rPr>
                <w:b w:val="false"/>
                <w:bCs w:val="false"/>
                <w:sz w:val="20"/>
                <w:szCs w:val="20"/>
              </w:rPr>
              <w:t xml:space="preserve">VentaService.java</w:t>
            </w:r>
          </w:p>
        </w:tc>
        <w:tc>
          <w:tcPr>
            <w:tcW w:type="dxa" w:w="1600"/>
            <w:tcMar>
              <w:top w:type="dxa" w:w="60"/>
              <w:left w:type="dxa" w:w="100"/>
              <w:bottom w:type="dxa" w:w="60"/>
              <w:right w:type="dxa" w:w="100"/>
            </w:tcMar>
          </w:tcPr>
          <w:p>
            <w:r>
              <w:rPr>
                <w:b w:val="false"/>
                <w:bCs w:val="false"/>
                <w:sz w:val="20"/>
                <w:szCs w:val="20"/>
              </w:rPr>
              <w:t xml:space="preserve">Couplers (Feature Envy)</w:t>
            </w:r>
          </w:p>
        </w:tc>
        <w:tc>
          <w:tcPr>
            <w:tcW w:type="dxa" w:w="3160"/>
            <w:tcMar>
              <w:top w:type="dxa" w:w="60"/>
              <w:left w:type="dxa" w:w="100"/>
              <w:bottom w:type="dxa" w:w="60"/>
              <w:right w:type="dxa" w:w="100"/>
            </w:tcMar>
          </w:tcPr>
          <w:p>
            <w:r>
              <w:rPr>
                <w:b w:val="false"/>
                <w:bCs w:val="false"/>
                <w:sz w:val="20"/>
                <w:szCs w:val="20"/>
              </w:rPr>
              <w:t xml:space="preserve">Accedía directamente a atributos internos de Producto para validar stock</w:t>
            </w:r>
          </w:p>
        </w:tc>
        <w:tc>
          <w:tcPr>
            <w:tcW w:type="dxa" w:w="2800"/>
            <w:tcMar>
              <w:top w:type="dxa" w:w="60"/>
              <w:left w:type="dxa" w:w="100"/>
              <w:bottom w:type="dxa" w:w="60"/>
              <w:right w:type="dxa" w:w="100"/>
            </w:tcMar>
          </w:tcPr>
          <w:p>
            <w:r>
              <w:rPr>
                <w:b w:val="false"/>
                <w:bCs w:val="false"/>
                <w:sz w:val="20"/>
                <w:szCs w:val="20"/>
              </w:rPr>
              <w:t xml:space="preserve">Se movió tieneStockSuficiente() a Producto (Move Method)</w:t>
            </w:r>
          </w:p>
        </w:tc>
      </w:tr>
      <w:tr>
        <w:tc>
          <w:tcPr>
            <w:tcW w:type="dxa" w:w="1800"/>
            <w:tcMar>
              <w:top w:type="dxa" w:w="60"/>
              <w:left w:type="dxa" w:w="100"/>
              <w:bottom w:type="dxa" w:w="60"/>
              <w:right w:type="dxa" w:w="100"/>
            </w:tcMar>
          </w:tcPr>
          <w:p>
            <w:r>
              <w:rPr>
                <w:b w:val="false"/>
                <w:bCs w:val="false"/>
                <w:sz w:val="20"/>
                <w:szCs w:val="20"/>
              </w:rPr>
              <w:t xml:space="preserve">ProductoController.java</w:t>
            </w:r>
          </w:p>
        </w:tc>
        <w:tc>
          <w:tcPr>
            <w:tcW w:type="dxa" w:w="1600"/>
            <w:tcMar>
              <w:top w:type="dxa" w:w="60"/>
              <w:left w:type="dxa" w:w="100"/>
              <w:bottom w:type="dxa" w:w="60"/>
              <w:right w:type="dxa" w:w="100"/>
            </w:tcMar>
          </w:tcPr>
          <w:p>
            <w:r>
              <w:rPr>
                <w:b w:val="false"/>
                <w:bCs w:val="false"/>
                <w:sz w:val="20"/>
                <w:szCs w:val="20"/>
              </w:rPr>
              <w:t xml:space="preserve">Bloaters</w:t>
            </w:r>
          </w:p>
        </w:tc>
        <w:tc>
          <w:tcPr>
            <w:tcW w:type="dxa" w:w="3160"/>
            <w:tcMar>
              <w:top w:type="dxa" w:w="60"/>
              <w:left w:type="dxa" w:w="100"/>
              <w:bottom w:type="dxa" w:w="60"/>
              <w:right w:type="dxa" w:w="100"/>
            </w:tcMar>
          </w:tcPr>
          <w:p>
            <w:r>
              <w:rPr>
                <w:b w:val="false"/>
                <w:bCs w:val="false"/>
                <w:sz w:val="20"/>
                <w:szCs w:val="20"/>
              </w:rPr>
              <w:t xml:space="preserve">Método guardarProducto() de más de 40 líneas mezclaba validación, guardado y formateo</w:t>
            </w:r>
          </w:p>
        </w:tc>
        <w:tc>
          <w:tcPr>
            <w:tcW w:type="dxa" w:w="2800"/>
            <w:tcMar>
              <w:top w:type="dxa" w:w="60"/>
              <w:left w:type="dxa" w:w="100"/>
              <w:bottom w:type="dxa" w:w="60"/>
              <w:right w:type="dxa" w:w="100"/>
            </w:tcMar>
          </w:tcPr>
          <w:p>
            <w:r>
              <w:rPr>
                <w:b w:val="false"/>
                <w:bCs w:val="false"/>
                <w:sz w:val="20"/>
                <w:szCs w:val="20"/>
              </w:rPr>
              <w:t xml:space="preserve">Se dividió en validarProducto(), guardarProducto() y formatearRespuesta()</w:t>
            </w:r>
          </w:p>
        </w:tc>
      </w:tr>
    </w:tbl>
    <w:p>
      <w:pPr>
        <w:spacing w:after="100"/>
      </w:pPr>
    </w:p>
    <w:p>
      <w:pPr>
        <w:pStyle w:val="Heading2"/>
        <w:spacing w:after="120" w:before="250"/>
      </w:pPr>
      <w:r>
        <w:t xml:space="preserve">2. Verificación de comportamiento</w:t>
      </w:r>
    </w:p>
    <w:p>
      <w:pPr>
        <w:spacing w:after="150"/>
      </w:pPr>
      <w:r>
        <w:t xml:space="preserve">Se ejecutaron manualmente los mismos casos de prueba de la FPI-06/08 antes y después del refactor, confirmando resultados idénticos.</w:t>
      </w:r>
    </w:p>
    <w:p>
      <w:pPr>
        <w:pStyle w:val="Heading2"/>
        <w:spacing w:after="120" w:before="250"/>
      </w:pPr>
      <w:r>
        <w:t xml:space="preserve">3. Registro de deuda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c>
          <w:tcPr>
            <w:tcW w:type="dxa" w:w="3600"/>
            <w:shd w:fill="D9E2F3" w:val="clear"/>
            <w:tcMar>
              <w:top w:type="dxa" w:w="60"/>
              <w:left w:type="dxa" w:w="100"/>
              <w:bottom w:type="dxa" w:w="60"/>
              <w:right w:type="dxa" w:w="100"/>
            </w:tcMar>
          </w:tcPr>
          <w:p>
            <w:r>
              <w:rPr>
                <w:b/>
                <w:bCs/>
                <w:sz w:val="20"/>
                <w:szCs w:val="20"/>
              </w:rPr>
              <w:t xml:space="preserve">Atajo tomado</w:t>
            </w:r>
          </w:p>
        </w:tc>
        <w:tc>
          <w:tcPr>
            <w:tcW w:type="dxa" w:w="2200"/>
            <w:shd w:fill="D9E2F3" w:val="clear"/>
            <w:tcMar>
              <w:top w:type="dxa" w:w="60"/>
              <w:left w:type="dxa" w:w="100"/>
              <w:bottom w:type="dxa" w:w="60"/>
              <w:right w:type="dxa" w:w="100"/>
            </w:tcMar>
          </w:tcPr>
          <w:p>
            <w:r>
              <w:rPr>
                <w:b/>
                <w:bCs/>
                <w:sz w:val="20"/>
                <w:szCs w:val="20"/>
              </w:rPr>
              <w:t xml:space="preserve">Cuadrante</w:t>
            </w:r>
          </w:p>
        </w:tc>
        <w:tc>
          <w:tcPr>
            <w:tcW w:type="dxa" w:w="3560"/>
            <w:shd w:fill="D9E2F3" w:val="clear"/>
            <w:tcMar>
              <w:top w:type="dxa" w:w="60"/>
              <w:left w:type="dxa" w:w="100"/>
              <w:bottom w:type="dxa" w:w="60"/>
              <w:right w:type="dxa" w:w="100"/>
            </w:tcMar>
          </w:tcPr>
          <w:p>
            <w:r>
              <w:rPr>
                <w:b/>
                <w:bCs/>
                <w:sz w:val="20"/>
                <w:szCs w:val="20"/>
              </w:rPr>
              <w:t xml:space="preserve">Plan de pago</w:t>
            </w:r>
          </w:p>
        </w:tc>
      </w:tr>
      <w:tr>
        <w:tc>
          <w:tcPr>
            <w:tcW w:type="dxa" w:w="3600"/>
            <w:tcMar>
              <w:top w:type="dxa" w:w="60"/>
              <w:left w:type="dxa" w:w="100"/>
              <w:bottom w:type="dxa" w:w="60"/>
              <w:right w:type="dxa" w:w="100"/>
            </w:tcMar>
          </w:tcPr>
          <w:p>
            <w:r>
              <w:rPr>
                <w:b w:val="false"/>
                <w:bCs w:val="false"/>
                <w:sz w:val="20"/>
                <w:szCs w:val="20"/>
              </w:rPr>
              <w:t xml:space="preserve">El dashboard recorre la lista completa de productos en memoria cada vez, sin caché</w:t>
            </w:r>
          </w:p>
        </w:tc>
        <w:tc>
          <w:tcPr>
            <w:tcW w:type="dxa" w:w="2200"/>
            <w:tcMar>
              <w:top w:type="dxa" w:w="60"/>
              <w:left w:type="dxa" w:w="100"/>
              <w:bottom w:type="dxa" w:w="60"/>
              <w:right w:type="dxa" w:w="100"/>
            </w:tcMar>
          </w:tcPr>
          <w:p>
            <w:r>
              <w:rPr>
                <w:b w:val="false"/>
                <w:bCs w:val="false"/>
                <w:sz w:val="20"/>
                <w:szCs w:val="20"/>
              </w:rPr>
              <w:t xml:space="preserve">Deliberada y prudente</w:t>
            </w:r>
          </w:p>
        </w:tc>
        <w:tc>
          <w:tcPr>
            <w:tcW w:type="dxa" w:w="3560"/>
            <w:tcMar>
              <w:top w:type="dxa" w:w="60"/>
              <w:left w:type="dxa" w:w="100"/>
              <w:bottom w:type="dxa" w:w="60"/>
              <w:right w:type="dxa" w:w="100"/>
            </w:tcMar>
          </w:tcPr>
          <w:p>
            <w:r>
              <w:rPr>
                <w:b w:val="false"/>
                <w:bCs w:val="false"/>
                <w:sz w:val="20"/>
                <w:szCs w:val="20"/>
              </w:rPr>
              <w:t xml:space="preserve">Documentado para optimizar si el volumen de datos crece en IS II</w:t>
            </w:r>
          </w:p>
        </w:tc>
      </w:tr>
    </w:tbl>
    <w:p>
      <w:pPr>
        <w:spacing w:after="100"/>
      </w:pPr>
    </w:p>
    <w:p>
      <w:pPr>
        <w:pStyle w:val="Heading2"/>
        <w:spacing w:after="120" w:before="250"/>
      </w:pPr>
      <w:r>
        <w:t xml:space="preserve">4. Auditoría a la IA</w:t>
      </w:r>
    </w:p>
    <w:p>
      <w:pPr>
        <w:spacing w:after="150"/>
      </w:pPr>
      <w:r>
        <w:t xml:space="preserve">La IA detectó correctamente el Feature Envy, pero no identificó el método largo del controlador hasta pedirle revisar específicamente longitud de métodos.</w:t>
      </w:r>
    </w:p>
    <w:p>
      <w:pPr>
        <w:pStyle w:val="Heading2"/>
        <w:spacing w:after="120" w:before="250"/>
      </w:pPr>
      <w:r>
        <w:t xml:space="preserve">D. Reflexión</w:t>
      </w:r>
    </w:p>
    <w:p>
      <w:pPr>
        <w:spacing w:after="150"/>
      </w:pPr>
      <w:r>
        <w:t xml:space="preserve">Aplicar la Boy Scout Rule dejó el código más mantenible sin agregar funcionalidad nueva simultáneamente. Próximo paso: integrar este código al flujo colaborativo de Git (FPI-13).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2026-10-05T02:32:14.188Z</dcterms:created>
  <dcterms:modified xsi:type="dcterms:W3CDTF">2026-10-05T02:32:14.188Z</dcterms:modified>
</cp:coreProperties>
</file>

<file path=docProps/custom.xml><?xml version="1.0" encoding="utf-8"?>
<Properties xmlns="http://schemas.openxmlformats.org/officeDocument/2006/custom-properties" xmlns:vt="http://schemas.openxmlformats.org/officeDocument/2006/docPropsVTypes"/>
</file>