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14 — Testing Unitario, Caja Blanca/Negra y Dobles de Prueba</w:t>
      </w:r>
    </w:p>
    <w:p>
      <w:pPr>
        <w:spacing w:after="300"/>
      </w:pPr>
      <w:r>
        <w:rPr>
          <w:i/>
          <w:iCs/>
          <w:color w:val="555555"/>
        </w:rPr>
        <w:t xml:space="preserve">Proyecto integrador: StockCentral (Boutique El Manantial) — Taller resuelto y FPI-14</w:t>
      </w:r>
    </w:p>
    <w:p>
      <w:pPr>
        <w:pStyle w:val="Heading1"/>
        <w:spacing w:after="150" w:before="300"/>
      </w:pPr>
      <w:r>
        <w:t xml:space="preserve">Taller</w:t>
      </w:r>
    </w:p>
    <w:p>
      <w:pPr>
        <w:pStyle w:val="Heading2"/>
        <w:spacing w:after="120" w:before="250"/>
      </w:pPr>
      <w:r>
        <w:t xml:space="preserve">Ejercicio 1 — Verificación y Validación (máx. 100 palabras)</w:t>
      </w:r>
    </w:p>
    <w:p>
      <w:pPr>
        <w:pBdr>
          <w:left w:val="single" w:color="888888" w:sz="12" w:space="8"/>
        </w:pBdr>
        <w:spacing w:after="150"/>
        <w:ind w:left="400"/>
      </w:pPr>
      <w:r>
        <w:rPr>
          <w:i/>
          <w:iCs/>
        </w:rPr>
        <w:t xml:space="preserve">Verificación responde "¿estamos construyendo el producto correctamente?": ¿el código cumple sus especificaciones técnicas? Validación responde "¿estamos construyendo el producto correcto?": ¿el software resuelve el problema real del negocio? En StockCentral, verificar es confirmar que descontarStock() resta correctamente; validar es confirmar que la dueña realmente encuentra útil el sistema.</w:t>
      </w:r>
    </w:p>
    <w:p>
      <w:pPr>
        <w:pStyle w:val="Heading2"/>
        <w:spacing w:after="120" w:before="250"/>
      </w:pPr>
      <w:r>
        <w:t xml:space="preserve">Ejercicio 2 — Complejidad ciclomática</w:t>
      </w:r>
    </w:p>
    <w:p>
      <w:pPr>
        <w:spacing w:after="150"/>
      </w:pPr>
      <w:r>
        <w:t xml:space="preserve">Con 2 condicionales anidados + 1 bucle: V(G) = número de decisiones + 1 = 3 + 1 = 4, requiriendo mínimo 4 casos de prueba para cubrir todos los caminos lógicos.</w:t>
      </w:r>
    </w:p>
    <w:p>
      <w:pPr>
        <w:pStyle w:val="Heading2"/>
        <w:spacing w:after="120" w:before="250"/>
      </w:pPr>
      <w:r>
        <w:t xml:space="preserve">Ejercicio 3 — Stub vs Mock ("ProcesarPago")</w:t>
      </w:r>
    </w:p>
    <w:p>
      <w:pPr>
        <w:spacing w:after="150"/>
      </w:pPr>
      <w:r>
        <w:t xml:space="preserve">Con Stub: se simula que la pasarela siempre responde "aprobado", para probar que el sistema genera correctamente el recibo (no verifica la interacción, solo da una respuesta fija).</w:t>
      </w:r>
    </w:p>
    <w:p>
      <w:pPr>
        <w:spacing w:after="150"/>
      </w:pPr>
      <w:r>
        <w:t xml:space="preserve">Con Mock: se verifica que pasarela.cobrar(monto) fue llamado exactamente una vez con el monto correcto, confirmando que el sistema realmente invocó la pasarela.</w:t>
      </w:r>
    </w:p>
    <w:p>
      <w:pPr>
        <w:pStyle w:val="Heading2"/>
        <w:spacing w:after="120" w:before="250"/>
      </w:pPr>
      <w:r>
        <w:t xml:space="preserve">Ejercicio 4 — Casos de Caja Negra ("recuperar contraseña")</w:t>
      </w:r>
    </w:p>
    <w:p>
      <w:pPr>
        <w:pStyle w:val="ListParagraph"/>
        <w:numPr>
          <w:ilvl w:val="0"/>
          <w:numId w:val="1"/>
        </w:numPr>
        <w:spacing w:after="80"/>
      </w:pPr>
      <w:r>
        <w:t xml:space="preserve">Correo registrado → se envía enlace de recuperación.</w:t>
      </w:r>
    </w:p>
    <w:p>
      <w:pPr>
        <w:pStyle w:val="ListParagraph"/>
        <w:numPr>
          <w:ilvl w:val="0"/>
          <w:numId w:val="1"/>
        </w:numPr>
        <w:spacing w:after="80"/>
      </w:pPr>
      <w:r>
        <w:t xml:space="preserve">Correo no registrado → mensaje genérico (sin revelar si el correo existe).</w:t>
      </w:r>
    </w:p>
    <w:p>
      <w:pPr>
        <w:pStyle w:val="ListParagraph"/>
        <w:numPr>
          <w:ilvl w:val="0"/>
          <w:numId w:val="1"/>
        </w:numPr>
        <w:spacing w:after="80"/>
      </w:pPr>
      <w:r>
        <w:t xml:space="preserve">Campo de correo vacío → error de validación, sin intentar el envío.</w:t>
      </w:r>
    </w:p>
    <w:p>
      <w:pPr>
        <w:pStyle w:val="Heading2"/>
        <w:spacing w:after="120" w:before="250"/>
      </w:pPr>
      <w:r>
        <w:t xml:space="preserve">Ejercicio 5 — Auditoría a la IA en pruebas</w:t>
      </w:r>
    </w:p>
    <w:p>
      <w:pPr>
        <w:spacing w:after="150"/>
      </w:pPr>
      <w:r>
        <w:t xml:space="preserve">Documenta tu prompt y respuesta reales. Verifica si la IA usó un Mock donde un Stub simple habría bastado, y si las aserciones eran significativas o triviales.</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 sistema puede pasar el 100% de sus pruebas (completamente verificado) y aun así fracasar como producto si esas pruebas solo confirman lo que el equipo cree que debe hacer, sin haber confirmado con el stakeholder real que eso es lo que necesita.</w:t>
      </w:r>
    </w:p>
    <w:p>
      <w:pPr>
        <w:pBdr>
          <w:left w:val="single" w:color="888888" w:sz="12" w:space="8"/>
        </w:pBdr>
        <w:spacing w:after="150"/>
        <w:ind w:left="400"/>
      </w:pPr>
      <w:r>
        <w:rPr>
          <w:i/>
          <w:iCs/>
        </w:rPr>
        <w:t xml:space="preserve">En StockCentral, podríamos tener pruebas impecables confirmando el cálculo del dashboard, pero si nunca validamos con la dueña si el umbral de 10 unidades es el que a ella le sirve, el sistema estaría verificado pero no validado.</w:t>
      </w:r>
    </w:p>
    <w:p>
      <w:pPr>
        <w:spacing w:after="100"/>
      </w:pPr>
    </w:p>
    <w:p>
      <w:pPr>
        <w:pStyle w:val="Heading1"/>
        <w:spacing w:after="150" w:before="300"/>
      </w:pPr>
      <w:r>
        <w:t xml:space="preserve">Cuestionario — respuestas correctas</w:t>
      </w:r>
    </w:p>
    <w:p>
      <w:pPr>
        <w:spacing w:after="150"/>
      </w:pPr>
      <w:r>
        <w:t xml:space="preserve">1. B  ·  2. B  ·  3. B  ·  4. B  ·  5. A  ·  6. B  ·  7. B</w:t>
      </w:r>
    </w:p>
    <w:p>
      <w:pPr>
        <w:pStyle w:val="Heading1"/>
        <w:spacing w:after="150" w:before="300"/>
      </w:pPr>
      <w:r>
        <w:t xml:space="preserve">FPI-14 — Ficha diligenciada</w:t>
      </w:r>
    </w:p>
    <w:p>
      <w:pPr>
        <w:spacing w:after="150"/>
      </w:pPr>
      <w:r>
        <w:rPr>
          <w:b/>
          <w:bCs/>
        </w:rPr>
        <w:t xml:space="preserve">Recuperado de FPI-12: </w:t>
      </w:r>
    </w:p>
    <w:p>
      <w:pPr>
        <w:spacing w:after="150"/>
      </w:pPr>
      <w:r>
        <w:t xml:space="preserve">Código de Producto, VentaService ya refactorizado.</w:t>
      </w:r>
    </w:p>
    <w:p>
      <w:pPr>
        <w:pStyle w:val="Heading2"/>
        <w:spacing w:after="120" w:before="250"/>
      </w:pPr>
      <w:r>
        <w:t xml:space="preserve">1. Pruebas unitarias con dobles de prueba (mínimo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160"/>
        <w:gridCol w:w="1300"/>
      </w:tblGrid>
      <w:tr>
        <w:tc>
          <w:tcPr>
            <w:tcW w:type="dxa" w:w="2400"/>
            <w:shd w:fill="D9E2F3" w:val="clear"/>
            <w:tcMar>
              <w:top w:type="dxa" w:w="60"/>
              <w:left w:type="dxa" w:w="100"/>
              <w:bottom w:type="dxa" w:w="60"/>
              <w:right w:type="dxa" w:w="100"/>
            </w:tcMar>
          </w:tcPr>
          <w:p>
            <w:r>
              <w:rPr>
                <w:b/>
                <w:bCs/>
                <w:sz w:val="20"/>
                <w:szCs w:val="20"/>
              </w:rPr>
              <w:t xml:space="preserve">Función/método</w:t>
            </w:r>
          </w:p>
        </w:tc>
        <w:tc>
          <w:tcPr>
            <w:tcW w:type="dxa" w:w="1900"/>
            <w:shd w:fill="D9E2F3" w:val="clear"/>
            <w:tcMar>
              <w:top w:type="dxa" w:w="60"/>
              <w:left w:type="dxa" w:w="100"/>
              <w:bottom w:type="dxa" w:w="60"/>
              <w:right w:type="dxa" w:w="100"/>
            </w:tcMar>
          </w:tcPr>
          <w:p>
            <w:r>
              <w:rPr>
                <w:b/>
                <w:bCs/>
                <w:sz w:val="20"/>
                <w:szCs w:val="20"/>
              </w:rPr>
              <w:t xml:space="preserve">Tipo de doble</w:t>
            </w:r>
          </w:p>
        </w:tc>
        <w:tc>
          <w:tcPr>
            <w:tcW w:type="dxa" w:w="3160"/>
            <w:shd w:fill="D9E2F3" w:val="clear"/>
            <w:tcMar>
              <w:top w:type="dxa" w:w="60"/>
              <w:left w:type="dxa" w:w="100"/>
              <w:bottom w:type="dxa" w:w="60"/>
              <w:right w:type="dxa" w:w="100"/>
            </w:tcMar>
          </w:tcPr>
          <w:p>
            <w:r>
              <w:rPr>
                <w:b/>
                <w:bCs/>
                <w:sz w:val="20"/>
                <w:szCs w:val="20"/>
              </w:rPr>
              <w:t xml:space="preserve">Caso y aserción</w:t>
            </w:r>
          </w:p>
        </w:tc>
        <w:tc>
          <w:tcPr>
            <w:tcW w:type="dxa" w:w="1300"/>
            <w:shd w:fill="D9E2F3" w:val="clear"/>
            <w:tcMar>
              <w:top w:type="dxa" w:w="60"/>
              <w:left w:type="dxa" w:w="100"/>
              <w:bottom w:type="dxa" w:w="60"/>
              <w:right w:type="dxa" w:w="100"/>
            </w:tcMar>
          </w:tcPr>
          <w:p>
            <w:r>
              <w:rPr>
                <w:b/>
                <w:bCs/>
                <w:sz w:val="20"/>
                <w:szCs w:val="20"/>
              </w:rPr>
              <w:t xml:space="preserve">Resultado</w:t>
            </w:r>
          </w:p>
        </w:tc>
      </w:tr>
      <w:tr>
        <w:tc>
          <w:tcPr>
            <w:tcW w:type="dxa" w:w="2400"/>
            <w:tcMar>
              <w:top w:type="dxa" w:w="60"/>
              <w:left w:type="dxa" w:w="100"/>
              <w:bottom w:type="dxa" w:w="60"/>
              <w:right w:type="dxa" w:w="100"/>
            </w:tcMar>
          </w:tcPr>
          <w:p>
            <w:r>
              <w:rPr>
                <w:b w:val="false"/>
                <w:bCs w:val="false"/>
                <w:sz w:val="20"/>
                <w:szCs w:val="20"/>
              </w:rPr>
              <w:t xml:space="preserve">Producto.tieneStockSuficiente()</w:t>
            </w:r>
          </w:p>
        </w:tc>
        <w:tc>
          <w:tcPr>
            <w:tcW w:type="dxa" w:w="1900"/>
            <w:tcMar>
              <w:top w:type="dxa" w:w="60"/>
              <w:left w:type="dxa" w:w="100"/>
              <w:bottom w:type="dxa" w:w="60"/>
              <w:right w:type="dxa" w:w="100"/>
            </w:tcMar>
          </w:tcPr>
          <w:p>
            <w:r>
              <w:rPr>
                <w:b w:val="false"/>
                <w:bCs w:val="false"/>
                <w:sz w:val="20"/>
                <w:szCs w:val="20"/>
              </w:rPr>
              <w:t xml:space="preserve">Ninguno</w:t>
            </w:r>
          </w:p>
        </w:tc>
        <w:tc>
          <w:tcPr>
            <w:tcW w:type="dxa" w:w="3160"/>
            <w:tcMar>
              <w:top w:type="dxa" w:w="60"/>
              <w:left w:type="dxa" w:w="100"/>
              <w:bottom w:type="dxa" w:w="60"/>
              <w:right w:type="dxa" w:w="100"/>
            </w:tcMar>
          </w:tcPr>
          <w:p>
            <w:r>
              <w:rPr>
                <w:b w:val="false"/>
                <w:bCs w:val="false"/>
                <w:sz w:val="20"/>
                <w:szCs w:val="20"/>
              </w:rPr>
              <w:t xml:space="preserve">Stock=5, cantidad=3 → assertTrue()</w:t>
            </w:r>
          </w:p>
        </w:tc>
        <w:tc>
          <w:tcPr>
            <w:tcW w:type="dxa" w:w="1300"/>
            <w:tcMar>
              <w:top w:type="dxa" w:w="60"/>
              <w:left w:type="dxa" w:w="100"/>
              <w:bottom w:type="dxa" w:w="60"/>
              <w:right w:type="dxa" w:w="100"/>
            </w:tcMar>
          </w:tcPr>
          <w:p>
            <w:r>
              <w:rPr>
                <w:b w:val="false"/>
                <w:bCs w:val="false"/>
                <w:sz w:val="20"/>
                <w:szCs w:val="20"/>
              </w:rPr>
              <w:t xml:space="preserve">Pasa</w:t>
            </w:r>
          </w:p>
        </w:tc>
      </w:tr>
      <w:tr>
        <w:tc>
          <w:tcPr>
            <w:tcW w:type="dxa" w:w="2400"/>
            <w:tcMar>
              <w:top w:type="dxa" w:w="60"/>
              <w:left w:type="dxa" w:w="100"/>
              <w:bottom w:type="dxa" w:w="60"/>
              <w:right w:type="dxa" w:w="100"/>
            </w:tcMar>
          </w:tcPr>
          <w:p>
            <w:r>
              <w:rPr>
                <w:b w:val="false"/>
                <w:bCs w:val="false"/>
                <w:sz w:val="20"/>
                <w:szCs w:val="20"/>
              </w:rPr>
              <w:t xml:space="preserve">VentaService.registrarVenta()</w:t>
            </w:r>
          </w:p>
        </w:tc>
        <w:tc>
          <w:tcPr>
            <w:tcW w:type="dxa" w:w="1900"/>
            <w:tcMar>
              <w:top w:type="dxa" w:w="60"/>
              <w:left w:type="dxa" w:w="100"/>
              <w:bottom w:type="dxa" w:w="60"/>
              <w:right w:type="dxa" w:w="100"/>
            </w:tcMar>
          </w:tcPr>
          <w:p>
            <w:r>
              <w:rPr>
                <w:b w:val="false"/>
                <w:bCs w:val="false"/>
                <w:sz w:val="20"/>
                <w:szCs w:val="20"/>
              </w:rPr>
              <w:t xml:space="preserve">Stub de ProductoRepository</w:t>
            </w:r>
          </w:p>
        </w:tc>
        <w:tc>
          <w:tcPr>
            <w:tcW w:type="dxa" w:w="3160"/>
            <w:tcMar>
              <w:top w:type="dxa" w:w="60"/>
              <w:left w:type="dxa" w:w="100"/>
              <w:bottom w:type="dxa" w:w="60"/>
              <w:right w:type="dxa" w:w="100"/>
            </w:tcMar>
          </w:tcPr>
          <w:p>
            <w:r>
              <w:rPr>
                <w:b w:val="false"/>
                <w:bCs w:val="false"/>
                <w:sz w:val="20"/>
                <w:szCs w:val="20"/>
              </w:rPr>
              <w:t xml:space="preserve">Stock=2, se pide vender 5 → assertThrows()</w:t>
            </w:r>
          </w:p>
        </w:tc>
        <w:tc>
          <w:tcPr>
            <w:tcW w:type="dxa" w:w="1300"/>
            <w:tcMar>
              <w:top w:type="dxa" w:w="60"/>
              <w:left w:type="dxa" w:w="100"/>
              <w:bottom w:type="dxa" w:w="60"/>
              <w:right w:type="dxa" w:w="100"/>
            </w:tcMar>
          </w:tcPr>
          <w:p>
            <w:r>
              <w:rPr>
                <w:b w:val="false"/>
                <w:bCs w:val="false"/>
                <w:sz w:val="20"/>
                <w:szCs w:val="20"/>
              </w:rPr>
              <w:t xml:space="preserve">Pasa</w:t>
            </w:r>
          </w:p>
        </w:tc>
      </w:tr>
      <w:tr>
        <w:tc>
          <w:tcPr>
            <w:tcW w:type="dxa" w:w="2400"/>
            <w:tcMar>
              <w:top w:type="dxa" w:w="60"/>
              <w:left w:type="dxa" w:w="100"/>
              <w:bottom w:type="dxa" w:w="60"/>
              <w:right w:type="dxa" w:w="100"/>
            </w:tcMar>
          </w:tcPr>
          <w:p>
            <w:r>
              <w:rPr>
                <w:b w:val="false"/>
                <w:bCs w:val="false"/>
                <w:sz w:val="20"/>
                <w:szCs w:val="20"/>
              </w:rPr>
              <w:t xml:space="preserve">VentaService.registrarVenta()</w:t>
            </w:r>
          </w:p>
        </w:tc>
        <w:tc>
          <w:tcPr>
            <w:tcW w:type="dxa" w:w="1900"/>
            <w:tcMar>
              <w:top w:type="dxa" w:w="60"/>
              <w:left w:type="dxa" w:w="100"/>
              <w:bottom w:type="dxa" w:w="60"/>
              <w:right w:type="dxa" w:w="100"/>
            </w:tcMar>
          </w:tcPr>
          <w:p>
            <w:r>
              <w:rPr>
                <w:b w:val="false"/>
                <w:bCs w:val="false"/>
                <w:sz w:val="20"/>
                <w:szCs w:val="20"/>
              </w:rPr>
              <w:t xml:space="preserve">Mock de VentaRepository</w:t>
            </w:r>
          </w:p>
        </w:tc>
        <w:tc>
          <w:tcPr>
            <w:tcW w:type="dxa" w:w="3160"/>
            <w:tcMar>
              <w:top w:type="dxa" w:w="60"/>
              <w:left w:type="dxa" w:w="100"/>
              <w:bottom w:type="dxa" w:w="60"/>
              <w:right w:type="dxa" w:w="100"/>
            </w:tcMar>
          </w:tcPr>
          <w:p>
            <w:r>
              <w:rPr>
                <w:b w:val="false"/>
                <w:bCs w:val="false"/>
                <w:sz w:val="20"/>
                <w:szCs w:val="20"/>
              </w:rPr>
              <w:t xml:space="preserve">Verifica guardar() llamado una vez tras venta válida</w:t>
            </w:r>
          </w:p>
        </w:tc>
        <w:tc>
          <w:tcPr>
            <w:tcW w:type="dxa" w:w="1300"/>
            <w:tcMar>
              <w:top w:type="dxa" w:w="60"/>
              <w:left w:type="dxa" w:w="100"/>
              <w:bottom w:type="dxa" w:w="60"/>
              <w:right w:type="dxa" w:w="100"/>
            </w:tcMar>
          </w:tcPr>
          <w:p>
            <w:r>
              <w:rPr>
                <w:b w:val="false"/>
                <w:bCs w:val="false"/>
                <w:sz w:val="20"/>
                <w:szCs w:val="20"/>
              </w:rPr>
              <w:t xml:space="preserve">Pasa</w:t>
            </w:r>
          </w:p>
        </w:tc>
      </w:tr>
    </w:tbl>
    <w:p>
      <w:pPr>
        <w:spacing w:after="100"/>
      </w:pPr>
    </w:p>
    <w:p>
      <w:pPr>
        <w:pStyle w:val="Heading2"/>
        <w:spacing w:after="120" w:before="250"/>
      </w:pPr>
      <w:r>
        <w:t xml:space="preserve">2. Complejidad ciclomática de un método crítico</w:t>
      </w:r>
    </w:p>
    <w:p>
      <w:pPr>
        <w:spacing w:after="150"/>
      </w:pPr>
      <w:r>
        <w:t xml:space="preserve">VentaService.registrarVenta() tiene 2 condicionales (stock, cantidad positiva) → V(G) = 3, requiriendo mínimo 3 casos de prueba (ya cubiertos arriba).</w:t>
      </w:r>
    </w:p>
    <w:p>
      <w:pPr>
        <w:pStyle w:val="Heading2"/>
        <w:spacing w:after="120" w:before="250"/>
      </w:pPr>
      <w:r>
        <w:t xml:space="preserve">3. Casos de prueba de Caja Negra (trazados a FPI-06)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200"/>
        <w:gridCol w:w="2860"/>
      </w:tblGrid>
      <w:tr>
        <w:tc>
          <w:tcPr>
            <w:tcW w:type="dxa" w:w="1000"/>
            <w:shd w:fill="D9E2F3" w:val="clear"/>
            <w:tcMar>
              <w:top w:type="dxa" w:w="60"/>
              <w:left w:type="dxa" w:w="100"/>
              <w:bottom w:type="dxa" w:w="60"/>
              <w:right w:type="dxa" w:w="100"/>
            </w:tcMar>
          </w:tcPr>
          <w:p>
            <w:r>
              <w:rPr>
                <w:b/>
                <w:bCs/>
                <w:sz w:val="20"/>
                <w:szCs w:val="20"/>
              </w:rPr>
              <w:t xml:space="preserve">ID</w:t>
            </w:r>
          </w:p>
        </w:tc>
        <w:tc>
          <w:tcPr>
            <w:tcW w:type="dxa" w:w="1700"/>
            <w:shd w:fill="D9E2F3" w:val="clear"/>
            <w:tcMar>
              <w:top w:type="dxa" w:w="60"/>
              <w:left w:type="dxa" w:w="100"/>
              <w:bottom w:type="dxa" w:w="60"/>
              <w:right w:type="dxa" w:w="100"/>
            </w:tcMar>
          </w:tcPr>
          <w:p>
            <w:r>
              <w:rPr>
                <w:b/>
                <w:bCs/>
                <w:sz w:val="20"/>
                <w:szCs w:val="20"/>
              </w:rPr>
              <w:t xml:space="preserve">Historia de origen</w:t>
            </w:r>
          </w:p>
        </w:tc>
        <w:tc>
          <w:tcPr>
            <w:tcW w:type="dxa" w:w="3200"/>
            <w:shd w:fill="D9E2F3" w:val="clear"/>
            <w:tcMar>
              <w:top w:type="dxa" w:w="60"/>
              <w:left w:type="dxa" w:w="100"/>
              <w:bottom w:type="dxa" w:w="60"/>
              <w:right w:type="dxa" w:w="100"/>
            </w:tcMar>
          </w:tcPr>
          <w:p>
            <w:r>
              <w:rPr>
                <w:b/>
                <w:bCs/>
                <w:sz w:val="20"/>
                <w:szCs w:val="20"/>
              </w:rPr>
              <w:t xml:space="preserve">Entrada</w:t>
            </w:r>
          </w:p>
        </w:tc>
        <w:tc>
          <w:tcPr>
            <w:tcW w:type="dxa" w:w="2860"/>
            <w:shd w:fill="D9E2F3" w:val="clear"/>
            <w:tcMar>
              <w:top w:type="dxa" w:w="60"/>
              <w:left w:type="dxa" w:w="100"/>
              <w:bottom w:type="dxa" w:w="60"/>
              <w:right w:type="dxa" w:w="100"/>
            </w:tcMar>
          </w:tcPr>
          <w:p>
            <w:r>
              <w:rPr>
                <w:b/>
                <w:bCs/>
                <w:sz w:val="20"/>
                <w:szCs w:val="20"/>
              </w:rPr>
              <w:t xml:space="preserve">Salida esperada</w:t>
            </w:r>
          </w:p>
        </w:tc>
      </w:tr>
      <w:tr>
        <w:tc>
          <w:tcPr>
            <w:tcW w:type="dxa" w:w="1000"/>
            <w:tcMar>
              <w:top w:type="dxa" w:w="60"/>
              <w:left w:type="dxa" w:w="100"/>
              <w:bottom w:type="dxa" w:w="60"/>
              <w:right w:type="dxa" w:w="100"/>
            </w:tcMar>
          </w:tcPr>
          <w:p>
            <w:r>
              <w:rPr>
                <w:b w:val="false"/>
                <w:bCs w:val="false"/>
                <w:sz w:val="20"/>
                <w:szCs w:val="20"/>
              </w:rPr>
              <w:t xml:space="preserve">CN-01</w:t>
            </w:r>
          </w:p>
        </w:tc>
        <w:tc>
          <w:tcPr>
            <w:tcW w:type="dxa" w:w="1700"/>
            <w:tcMar>
              <w:top w:type="dxa" w:w="60"/>
              <w:left w:type="dxa" w:w="100"/>
              <w:bottom w:type="dxa" w:w="60"/>
              <w:right w:type="dxa" w:w="100"/>
            </w:tcMar>
          </w:tcPr>
          <w:p>
            <w:r>
              <w:rPr>
                <w:b w:val="false"/>
                <w:bCs w:val="false"/>
                <w:sz w:val="20"/>
                <w:szCs w:val="20"/>
              </w:rPr>
              <w:t xml:space="preserve">RF-02</w:t>
            </w:r>
          </w:p>
        </w:tc>
        <w:tc>
          <w:tcPr>
            <w:tcW w:type="dxa" w:w="3200"/>
            <w:tcMar>
              <w:top w:type="dxa" w:w="60"/>
              <w:left w:type="dxa" w:w="100"/>
              <w:bottom w:type="dxa" w:w="60"/>
              <w:right w:type="dxa" w:w="100"/>
            </w:tcMar>
          </w:tcPr>
          <w:p>
            <w:r>
              <w:rPr>
                <w:b w:val="false"/>
                <w:bCs w:val="false"/>
                <w:sz w:val="20"/>
                <w:szCs w:val="20"/>
              </w:rPr>
              <w:t xml:space="preserve">Venta con stock suficiente</w:t>
            </w:r>
          </w:p>
        </w:tc>
        <w:tc>
          <w:tcPr>
            <w:tcW w:type="dxa" w:w="2860"/>
            <w:tcMar>
              <w:top w:type="dxa" w:w="60"/>
              <w:left w:type="dxa" w:w="100"/>
              <w:bottom w:type="dxa" w:w="60"/>
              <w:right w:type="dxa" w:w="100"/>
            </w:tcMar>
          </w:tcPr>
          <w:p>
            <w:r>
              <w:rPr>
                <w:b w:val="false"/>
                <w:bCs w:val="false"/>
                <w:sz w:val="20"/>
                <w:szCs w:val="20"/>
              </w:rPr>
              <w:t xml:space="preserve">Venta registrada, stock actualizado</w:t>
            </w:r>
          </w:p>
        </w:tc>
      </w:tr>
      <w:tr>
        <w:tc>
          <w:tcPr>
            <w:tcW w:type="dxa" w:w="1000"/>
            <w:tcMar>
              <w:top w:type="dxa" w:w="60"/>
              <w:left w:type="dxa" w:w="100"/>
              <w:bottom w:type="dxa" w:w="60"/>
              <w:right w:type="dxa" w:w="100"/>
            </w:tcMar>
          </w:tcPr>
          <w:p>
            <w:r>
              <w:rPr>
                <w:b w:val="false"/>
                <w:bCs w:val="false"/>
                <w:sz w:val="20"/>
                <w:szCs w:val="20"/>
              </w:rPr>
              <w:t xml:space="preserve">CN-02</w:t>
            </w:r>
          </w:p>
        </w:tc>
        <w:tc>
          <w:tcPr>
            <w:tcW w:type="dxa" w:w="1700"/>
            <w:tcMar>
              <w:top w:type="dxa" w:w="60"/>
              <w:left w:type="dxa" w:w="100"/>
              <w:bottom w:type="dxa" w:w="60"/>
              <w:right w:type="dxa" w:w="100"/>
            </w:tcMar>
          </w:tcPr>
          <w:p>
            <w:r>
              <w:rPr>
                <w:b w:val="false"/>
                <w:bCs w:val="false"/>
                <w:sz w:val="20"/>
                <w:szCs w:val="20"/>
              </w:rPr>
              <w:t xml:space="preserve">RF-02</w:t>
            </w:r>
          </w:p>
        </w:tc>
        <w:tc>
          <w:tcPr>
            <w:tcW w:type="dxa" w:w="3200"/>
            <w:tcMar>
              <w:top w:type="dxa" w:w="60"/>
              <w:left w:type="dxa" w:w="100"/>
              <w:bottom w:type="dxa" w:w="60"/>
              <w:right w:type="dxa" w:w="100"/>
            </w:tcMar>
          </w:tcPr>
          <w:p>
            <w:r>
              <w:rPr>
                <w:b w:val="false"/>
                <w:bCs w:val="false"/>
                <w:sz w:val="20"/>
                <w:szCs w:val="20"/>
              </w:rPr>
              <w:t xml:space="preserve">Venta con stock insuficiente</w:t>
            </w:r>
          </w:p>
        </w:tc>
        <w:tc>
          <w:tcPr>
            <w:tcW w:type="dxa" w:w="2860"/>
            <w:tcMar>
              <w:top w:type="dxa" w:w="60"/>
              <w:left w:type="dxa" w:w="100"/>
              <w:bottom w:type="dxa" w:w="60"/>
              <w:right w:type="dxa" w:w="100"/>
            </w:tcMar>
          </w:tcPr>
          <w:p>
            <w:r>
              <w:rPr>
                <w:b w:val="false"/>
                <w:bCs w:val="false"/>
                <w:sz w:val="20"/>
                <w:szCs w:val="20"/>
              </w:rPr>
              <w:t xml:space="preserve">Venta rechazada, mensaje de error</w:t>
            </w:r>
          </w:p>
        </w:tc>
      </w:tr>
      <w:tr>
        <w:tc>
          <w:tcPr>
            <w:tcW w:type="dxa" w:w="1000"/>
            <w:tcMar>
              <w:top w:type="dxa" w:w="60"/>
              <w:left w:type="dxa" w:w="100"/>
              <w:bottom w:type="dxa" w:w="60"/>
              <w:right w:type="dxa" w:w="100"/>
            </w:tcMar>
          </w:tcPr>
          <w:p>
            <w:r>
              <w:rPr>
                <w:b w:val="false"/>
                <w:bCs w:val="false"/>
                <w:sz w:val="20"/>
                <w:szCs w:val="20"/>
              </w:rPr>
              <w:t xml:space="preserve">CN-03</w:t>
            </w:r>
          </w:p>
        </w:tc>
        <w:tc>
          <w:tcPr>
            <w:tcW w:type="dxa" w:w="1700"/>
            <w:tcMar>
              <w:top w:type="dxa" w:w="60"/>
              <w:left w:type="dxa" w:w="100"/>
              <w:bottom w:type="dxa" w:w="60"/>
              <w:right w:type="dxa" w:w="100"/>
            </w:tcMar>
          </w:tcPr>
          <w:p>
            <w:r>
              <w:rPr>
                <w:b w:val="false"/>
                <w:bCs w:val="false"/>
                <w:sz w:val="20"/>
                <w:szCs w:val="20"/>
              </w:rPr>
              <w:t xml:space="preserve">RF-01</w:t>
            </w:r>
          </w:p>
        </w:tc>
        <w:tc>
          <w:tcPr>
            <w:tcW w:type="dxa" w:w="3200"/>
            <w:tcMar>
              <w:top w:type="dxa" w:w="60"/>
              <w:left w:type="dxa" w:w="100"/>
              <w:bottom w:type="dxa" w:w="60"/>
              <w:right w:type="dxa" w:w="100"/>
            </w:tcMar>
          </w:tcPr>
          <w:p>
            <w:r>
              <w:rPr>
                <w:b w:val="false"/>
                <w:bCs w:val="false"/>
                <w:sz w:val="20"/>
                <w:szCs w:val="20"/>
              </w:rPr>
              <w:t xml:space="preserve">Producto con precio negativo</w:t>
            </w:r>
          </w:p>
        </w:tc>
        <w:tc>
          <w:tcPr>
            <w:tcW w:type="dxa" w:w="2860"/>
            <w:tcMar>
              <w:top w:type="dxa" w:w="60"/>
              <w:left w:type="dxa" w:w="100"/>
              <w:bottom w:type="dxa" w:w="60"/>
              <w:right w:type="dxa" w:w="100"/>
            </w:tcMar>
          </w:tcPr>
          <w:p>
            <w:r>
              <w:rPr>
                <w:b w:val="false"/>
                <w:bCs w:val="false"/>
                <w:sz w:val="20"/>
                <w:szCs w:val="20"/>
              </w:rPr>
              <w:t xml:space="preserve">Registro rechazado</w:t>
            </w:r>
          </w:p>
        </w:tc>
      </w:tr>
    </w:tbl>
    <w:p>
      <w:pPr>
        <w:spacing w:after="100"/>
      </w:pPr>
    </w:p>
    <w:p>
      <w:pPr>
        <w:pStyle w:val="Heading2"/>
        <w:spacing w:after="120" w:before="250"/>
      </w:pPr>
      <w:r>
        <w:t xml:space="preserve">4. Estrategia de integración incremental</w:t>
      </w:r>
    </w:p>
    <w:p>
      <w:pPr>
        <w:spacing w:after="150"/>
      </w:pPr>
      <w:r>
        <w:t xml:space="preserve">Ascendente (Bottom-Up): se prueban primero Producto y Venta de forma aislada, luego VentaService que los integra, y finalmente VentaController. Se eligió porque las entidades de dominio ya estaban completamente definidas y estables.</w:t>
      </w:r>
    </w:p>
    <w:p>
      <w:pPr>
        <w:pStyle w:val="Heading2"/>
        <w:spacing w:after="120" w:before="250"/>
      </w:pPr>
      <w:r>
        <w:t xml:space="preserve">5. Auditoría a la IA</w:t>
      </w:r>
    </w:p>
    <w:p>
      <w:pPr>
        <w:spacing w:after="150"/>
      </w:pPr>
      <w:r>
        <w:t xml:space="preserve">La IA usó un Mock para tieneStockSuficiente() (función pura sin dependencias externas) donde ni siquiera se necesitaba un doble; se corrigió a una prueba unitaria directa.</w:t>
      </w:r>
    </w:p>
    <w:p>
      <w:pPr>
        <w:pStyle w:val="Heading2"/>
        <w:spacing w:after="120" w:before="250"/>
      </w:pPr>
      <w:r>
        <w:t xml:space="preserve">D. Reflexión</w:t>
      </w:r>
    </w:p>
    <w:p>
      <w:pPr>
        <w:spacing w:after="150"/>
      </w:pPr>
      <w:r>
        <w:t xml:space="preserve">Calcular la complejidad ciclomática ayudó a asegurar que no faltaran casos de prueba. Próximo paso: automatizar esta suite en un pipeline de CI (FPI-15).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2026-10-05T02:32:14.506Z</dcterms:created>
  <dcterms:modified xsi:type="dcterms:W3CDTF">2026-10-05T02:32:14.507Z</dcterms:modified>
</cp:coreProperties>
</file>

<file path=docProps/custom.xml><?xml version="1.0" encoding="utf-8"?>
<Properties xmlns="http://schemas.openxmlformats.org/officeDocument/2006/custom-properties" xmlns:vt="http://schemas.openxmlformats.org/officeDocument/2006/docPropsVTypes"/>
</file>