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15 — Integración y Verificación del MVP: CI, Regresión y Gestión de Defectos</w:t>
      </w:r>
    </w:p>
    <w:p>
      <w:pPr>
        <w:spacing w:after="300"/>
      </w:pPr>
      <w:r>
        <w:rPr>
          <w:i/>
          <w:iCs/>
          <w:color w:val="555555"/>
        </w:rPr>
        <w:t xml:space="preserve">Proyecto integrador: StockCentral (Boutique El Manantial) — Taller resuelto y FPI-15</w:t>
      </w:r>
    </w:p>
    <w:p>
      <w:pPr>
        <w:pStyle w:val="Heading1"/>
        <w:spacing w:after="150" w:before="300"/>
      </w:pPr>
      <w:r>
        <w:t xml:space="preserve">Taller</w:t>
      </w:r>
    </w:p>
    <w:p>
      <w:pPr>
        <w:pStyle w:val="Heading2"/>
        <w:spacing w:after="120" w:before="250"/>
      </w:pPr>
      <w:r>
        <w:t xml:space="preserve">Ejercicio 1 — Build, Lint, Test (máx. 100 palabras)</w:t>
      </w:r>
    </w:p>
    <w:p>
      <w:pPr>
        <w:pBdr>
          <w:left w:val="single" w:color="888888" w:sz="12" w:space="8"/>
        </w:pBdr>
        <w:spacing w:after="150"/>
        <w:ind w:left="400"/>
      </w:pPr>
      <w:r>
        <w:rPr>
          <w:i/>
          <w:iCs/>
        </w:rPr>
        <w:t xml:space="preserve">Un pipeline de CI ejecuta tres pasos automatizados en cada cambio: Build (compilar o preparar el código), Lint (verificar estilo y errores estáticos) y Test (ejecutar la suite de pruebas automatizadas). Si cualquiera falla, el pipeline "se pone en rojo" y bloquea la fusión del cambio.</w:t>
      </w:r>
    </w:p>
    <w:p>
      <w:pPr>
        <w:pStyle w:val="Heading2"/>
        <w:spacing w:after="120" w:before="250"/>
      </w:pPr>
      <w:r>
        <w:t xml:space="preserve">Ejercicio 2 — Bug Report profesional</w:t>
      </w:r>
    </w:p>
    <w:p>
      <w:pPr>
        <w:spacing w:after="150"/>
      </w:pPr>
      <w:r>
        <w:t xml:space="preserve">ID: BUG-01. Descripción: el botón de confirmar pedido no responde en dispositivos móviles. Pasos: 1) Abrir la app desde un celular, 2) agregar un producto al carrito, 3) tocar "Confirmar pedido". Resultado esperado: el pedido se confirma con mensaje de éxito. Resultado obtenido: el botón no reacciona al toque. Entorno: Android 13, Chrome móvil 118, wifi estable.</w:t>
      </w:r>
    </w:p>
    <w:p>
      <w:pPr>
        <w:pStyle w:val="Heading2"/>
        <w:spacing w:after="120" w:before="250"/>
      </w:pPr>
      <w:r>
        <w:t xml:space="preserve">Ejercicio 3 — Estrategia de regresión (error en impuestos del carrito)</w:t>
      </w:r>
    </w:p>
    <w:p>
      <w:pPr>
        <w:pBdr>
          <w:left w:val="single" w:color="888888" w:sz="12" w:space="8"/>
        </w:pBdr>
        <w:spacing w:after="150"/>
        <w:ind w:left="400"/>
      </w:pPr>
      <w:r>
        <w:rPr>
          <w:i/>
          <w:iCs/>
        </w:rPr>
        <w:t xml:space="preserve">Se ejecutarían las pruebas del módulo de carrito (cálculo de totales) y las del módulo de facturación (que consume el total calculado), ya que podría verse afectado indirectamente. No sería necesario reejecutar, por ejemplo, las pruebas del módulo de login.</w:t>
      </w:r>
    </w:p>
    <w:p>
      <w:pPr>
        <w:pStyle w:val="Heading2"/>
        <w:spacing w:after="120" w:before="250"/>
      </w:pPr>
      <w:r>
        <w:t xml:space="preserve">Ejercicio 4 — Ciclo de vida de un defecto (con Reabierto)</w:t>
      </w:r>
    </w:p>
    <w:p>
      <w:pPr>
        <w:spacing w:after="150"/>
      </w:pPr>
      <w:r>
        <w:t xml:space="preserve">Abierto (BUG-02: el descuento de stock no ocurre en ventas simultáneas) → En progreso (se agrega bloqueo de concurrencia) → En revisión (Code Review aprueba) → Cerrado (verificado) → Reabierto (el bloqueo no cubre el caso de dos hilos del servidor) → En progreso nuevamente → Cerrado (verificado con prueba de concurrencia real).</w:t>
      </w:r>
    </w:p>
    <w:p>
      <w:pPr>
        <w:pStyle w:val="Heading2"/>
        <w:spacing w:after="120" w:before="250"/>
      </w:pPr>
      <w:r>
        <w:t xml:space="preserve">Ejercicio 5 — Auditoría a la IA en configuración de pipeline</w:t>
      </w:r>
    </w:p>
    <w:p>
      <w:pPr>
        <w:spacing w:after="150"/>
      </w:pPr>
      <w:r>
        <w:t xml:space="preserve">Documenta tu prompt y respuesta reales. Verifica si el script YAML generado incluyó algún token o credencial en texto plano en vez de variables de entorno protegidas (GitHub Secrets).</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Un pipeline de CI "siempre en verde" puede generar una falsa sensación de seguridad si las pruebas solo cubren casos triviales en vez de escenarios reales de negocio. Un pipeline verde certifica que el código cumple exactamente las pruebas que el equipo escribió — nada más — conectado directamente con la diferencia entre Verificación y Validación de la Guía 14.</w:t>
      </w:r>
    </w:p>
    <w:p>
      <w:pPr>
        <w:pBdr>
          <w:left w:val="single" w:color="888888" w:sz="12" w:space="8"/>
        </w:pBdr>
        <w:spacing w:after="150"/>
        <w:ind w:left="400"/>
      </w:pPr>
      <w:r>
        <w:rPr>
          <w:i/>
          <w:iCs/>
        </w:rPr>
        <w:t xml:space="preserve">En StockCentral, podríamos tener un pipeline en verde con pruebas que solo confirman que registrarVenta() no lanza errores con datos simples, sin haber probado nunca dos ventas simultáneas del mismo producto agotando el stock a la vez — un escenario posible en un día de alta demanda real.</w:t>
      </w:r>
    </w:p>
    <w:p>
      <w:pPr>
        <w:spacing w:after="100"/>
      </w:pPr>
    </w:p>
    <w:p>
      <w:pPr>
        <w:pStyle w:val="Heading1"/>
        <w:spacing w:after="150" w:before="300"/>
      </w:pPr>
      <w:r>
        <w:t xml:space="preserve">Cuestionario — respuestas correctas</w:t>
      </w:r>
    </w:p>
    <w:p>
      <w:pPr>
        <w:spacing w:after="150"/>
      </w:pPr>
      <w:r>
        <w:t xml:space="preserve">1. B  ·  2. A  ·  3. B  ·  4. B  ·  5. B  ·  6. B  ·  7. B</w:t>
      </w:r>
    </w:p>
    <w:p>
      <w:pPr>
        <w:pStyle w:val="Heading1"/>
        <w:spacing w:after="150" w:before="300"/>
      </w:pPr>
      <w:r>
        <w:t xml:space="preserve">FPI-15 — Ficha diligenciada</w:t>
      </w:r>
    </w:p>
    <w:p>
      <w:pPr>
        <w:spacing w:after="150"/>
      </w:pPr>
      <w:r>
        <w:rPr>
          <w:b/>
          <w:bCs/>
        </w:rPr>
        <w:t xml:space="preserve">Recuperado de FPI-14: </w:t>
      </w:r>
    </w:p>
    <w:p>
      <w:pPr>
        <w:spacing w:after="150"/>
      </w:pPr>
      <w:r>
        <w:t xml:space="preserve">Suite de pruebas de Producto, VentaService (unitarias) y casos de Caja Negra trazados a la FPI-06.</w:t>
      </w:r>
    </w:p>
    <w:p>
      <w:pPr>
        <w:pStyle w:val="Heading2"/>
        <w:spacing w:after="120" w:before="250"/>
      </w:pPr>
      <w:r>
        <w:t xml:space="preserve">1. Evidencia del pipeline de CI configurado</w:t>
      </w:r>
    </w:p>
    <w:p>
      <w:pPr>
        <w:spacing w:after="150"/>
      </w:pPr>
      <w:r>
        <w:t xml:space="preserve">Pipeline con GitHub Actions (URL a definir), ejecutando en cada Pull Request: mvn compile (build), mvn checkstyle:check (lint) y mvn test (ejecuta la suite de FPI-14). Bloquea la fusión si cualquier paso falla — configurado como "required status check" en la protección de main.</w:t>
      </w:r>
    </w:p>
    <w:p>
      <w:pPr>
        <w:pStyle w:val="Heading2"/>
        <w:spacing w:after="120" w:before="250"/>
      </w:pPr>
      <w:r>
        <w:t xml:space="preserve">2. Estrategia de regresión aplicada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000"/>
      </w:tblGrid>
      <w:tr>
        <w:tc>
          <w:tcPr>
            <w:tcW w:type="dxa" w:w="3200"/>
            <w:shd w:fill="D9E2F3" w:val="clear"/>
            <w:tcMar>
              <w:top w:type="dxa" w:w="60"/>
              <w:left w:type="dxa" w:w="100"/>
              <w:bottom w:type="dxa" w:w="60"/>
              <w:right w:type="dxa" w:w="100"/>
            </w:tcMar>
          </w:tcPr>
          <w:p>
            <w:r>
              <w:rPr>
                <w:b/>
                <w:bCs/>
                <w:sz w:val="20"/>
                <w:szCs w:val="20"/>
              </w:rPr>
              <w:t xml:space="preserve">Cambio realizado</w:t>
            </w:r>
          </w:p>
        </w:tc>
        <w:tc>
          <w:tcPr>
            <w:tcW w:type="dxa" w:w="3760"/>
            <w:shd w:fill="D9E2F3" w:val="clear"/>
            <w:tcMar>
              <w:top w:type="dxa" w:w="60"/>
              <w:left w:type="dxa" w:w="100"/>
              <w:bottom w:type="dxa" w:w="60"/>
              <w:right w:type="dxa" w:w="100"/>
            </w:tcMar>
          </w:tcPr>
          <w:p>
            <w:r>
              <w:rPr>
                <w:b/>
                <w:bCs/>
                <w:sz w:val="20"/>
                <w:szCs w:val="20"/>
              </w:rPr>
              <w:t xml:space="preserve">Pruebas de regresión ejecutadas</w:t>
            </w:r>
          </w:p>
        </w:tc>
        <w:tc>
          <w:tcPr>
            <w:tcW w:type="dxa" w:w="2000"/>
            <w:shd w:fill="D9E2F3" w:val="clear"/>
            <w:tcMar>
              <w:top w:type="dxa" w:w="60"/>
              <w:left w:type="dxa" w:w="100"/>
              <w:bottom w:type="dxa" w:w="60"/>
              <w:right w:type="dxa" w:w="100"/>
            </w:tcMar>
          </w:tcPr>
          <w:p>
            <w:r>
              <w:rPr>
                <w:b/>
                <w:bCs/>
                <w:sz w:val="20"/>
                <w:szCs w:val="20"/>
              </w:rPr>
              <w:t xml:space="preserve">Resultado</w:t>
            </w:r>
          </w:p>
        </w:tc>
      </w:tr>
      <w:tr>
        <w:tc>
          <w:tcPr>
            <w:tcW w:type="dxa" w:w="3200"/>
            <w:tcMar>
              <w:top w:type="dxa" w:w="60"/>
              <w:left w:type="dxa" w:w="100"/>
              <w:bottom w:type="dxa" w:w="60"/>
              <w:right w:type="dxa" w:w="100"/>
            </w:tcMar>
          </w:tcPr>
          <w:p>
            <w:r>
              <w:rPr>
                <w:b w:val="false"/>
                <w:bCs w:val="false"/>
                <w:sz w:val="20"/>
                <w:szCs w:val="20"/>
              </w:rPr>
              <w:t xml:space="preserve">Corrección del umbral de stock bajo</w:t>
            </w:r>
          </w:p>
        </w:tc>
        <w:tc>
          <w:tcPr>
            <w:tcW w:type="dxa" w:w="3760"/>
            <w:tcMar>
              <w:top w:type="dxa" w:w="60"/>
              <w:left w:type="dxa" w:w="100"/>
              <w:bottom w:type="dxa" w:w="60"/>
              <w:right w:type="dxa" w:w="100"/>
            </w:tcMar>
          </w:tcPr>
          <w:p>
            <w:r>
              <w:rPr>
                <w:b w:val="false"/>
                <w:bCs w:val="false"/>
                <w:sz w:val="20"/>
                <w:szCs w:val="20"/>
              </w:rPr>
              <w:t xml:space="preserve">Pruebas de DashboardService + Producto</w:t>
            </w:r>
          </w:p>
        </w:tc>
        <w:tc>
          <w:tcPr>
            <w:tcW w:type="dxa" w:w="2000"/>
            <w:tcMar>
              <w:top w:type="dxa" w:w="60"/>
              <w:left w:type="dxa" w:w="100"/>
              <w:bottom w:type="dxa" w:w="60"/>
              <w:right w:type="dxa" w:w="100"/>
            </w:tcMar>
          </w:tcPr>
          <w:p>
            <w:r>
              <w:rPr>
                <w:b w:val="false"/>
                <w:bCs w:val="false"/>
                <w:sz w:val="20"/>
                <w:szCs w:val="20"/>
              </w:rPr>
              <w:t xml:space="preserve">Pasaron todas</w:t>
            </w:r>
          </w:p>
        </w:tc>
      </w:tr>
      <w:tr>
        <w:tc>
          <w:tcPr>
            <w:tcW w:type="dxa" w:w="3200"/>
            <w:tcMar>
              <w:top w:type="dxa" w:w="60"/>
              <w:left w:type="dxa" w:w="100"/>
              <w:bottom w:type="dxa" w:w="60"/>
              <w:right w:type="dxa" w:w="100"/>
            </w:tcMar>
          </w:tcPr>
          <w:p>
            <w:r>
              <w:rPr>
                <w:b w:val="false"/>
                <w:bCs w:val="false"/>
                <w:sz w:val="20"/>
                <w:szCs w:val="20"/>
              </w:rPr>
              <w:t xml:space="preserve">Refactorización de VentaService (FPI-12)</w:t>
            </w:r>
          </w:p>
        </w:tc>
        <w:tc>
          <w:tcPr>
            <w:tcW w:type="dxa" w:w="3760"/>
            <w:tcMar>
              <w:top w:type="dxa" w:w="60"/>
              <w:left w:type="dxa" w:w="100"/>
              <w:bottom w:type="dxa" w:w="60"/>
              <w:right w:type="dxa" w:w="100"/>
            </w:tcMar>
          </w:tcPr>
          <w:p>
            <w:r>
              <w:rPr>
                <w:b w:val="false"/>
                <w:bCs w:val="false"/>
                <w:sz w:val="20"/>
                <w:szCs w:val="20"/>
              </w:rPr>
              <w:t xml:space="preserve">Toda la suite de pruebas de venta</w:t>
            </w:r>
          </w:p>
        </w:tc>
        <w:tc>
          <w:tcPr>
            <w:tcW w:type="dxa" w:w="2000"/>
            <w:tcMar>
              <w:top w:type="dxa" w:w="60"/>
              <w:left w:type="dxa" w:w="100"/>
              <w:bottom w:type="dxa" w:w="60"/>
              <w:right w:type="dxa" w:w="100"/>
            </w:tcMar>
          </w:tcPr>
          <w:p>
            <w:r>
              <w:rPr>
                <w:b w:val="false"/>
                <w:bCs w:val="false"/>
                <w:sz w:val="20"/>
                <w:szCs w:val="20"/>
              </w:rPr>
              <w:t xml:space="preserve">Pasaron todas, sin cambio de comportamiento</w:t>
            </w:r>
          </w:p>
        </w:tc>
      </w:tr>
    </w:tbl>
    <w:p>
      <w:pPr>
        <w:spacing w:after="100"/>
      </w:pPr>
    </w:p>
    <w:p>
      <w:pPr>
        <w:pStyle w:val="Heading2"/>
        <w:spacing w:after="120" w:before="250"/>
      </w:pPr>
      <w:r>
        <w:t xml:space="preserve">3. Defectos gestionados formalmente (mínimo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000"/>
        <w:gridCol w:w="2160"/>
      </w:tblGrid>
      <w:tr>
        <w:tc>
          <w:tcPr>
            <w:tcW w:type="dxa" w:w="1000"/>
            <w:shd w:fill="D9E2F3" w:val="clear"/>
            <w:tcMar>
              <w:top w:type="dxa" w:w="60"/>
              <w:left w:type="dxa" w:w="100"/>
              <w:bottom w:type="dxa" w:w="60"/>
              <w:right w:type="dxa" w:w="100"/>
            </w:tcMar>
          </w:tcPr>
          <w:p>
            <w:r>
              <w:rPr>
                <w:b/>
                <w:bCs/>
                <w:sz w:val="20"/>
                <w:szCs w:val="20"/>
              </w:rPr>
              <w:t xml:space="preserve">ID</w:t>
            </w:r>
          </w:p>
        </w:tc>
        <w:tc>
          <w:tcPr>
            <w:tcW w:type="dxa" w:w="3800"/>
            <w:shd w:fill="D9E2F3" w:val="clear"/>
            <w:tcMar>
              <w:top w:type="dxa" w:w="60"/>
              <w:left w:type="dxa" w:w="100"/>
              <w:bottom w:type="dxa" w:w="60"/>
              <w:right w:type="dxa" w:w="100"/>
            </w:tcMar>
          </w:tcPr>
          <w:p>
            <w:r>
              <w:rPr>
                <w:b/>
                <w:bCs/>
                <w:sz w:val="20"/>
                <w:szCs w:val="20"/>
              </w:rPr>
              <w:t xml:space="preserve">Descripción y pasos de reproducción</w:t>
            </w:r>
          </w:p>
        </w:tc>
        <w:tc>
          <w:tcPr>
            <w:tcW w:type="dxa" w:w="2000"/>
            <w:shd w:fill="D9E2F3" w:val="clear"/>
            <w:tcMar>
              <w:top w:type="dxa" w:w="60"/>
              <w:left w:type="dxa" w:w="100"/>
              <w:bottom w:type="dxa" w:w="60"/>
              <w:right w:type="dxa" w:w="100"/>
            </w:tcMar>
          </w:tcPr>
          <w:p>
            <w:r>
              <w:rPr>
                <w:b/>
                <w:bCs/>
                <w:sz w:val="20"/>
                <w:szCs w:val="20"/>
              </w:rPr>
              <w:t xml:space="preserve">Estado actual</w:t>
            </w:r>
          </w:p>
        </w:tc>
        <w:tc>
          <w:tcPr>
            <w:tcW w:type="dxa" w:w="2160"/>
            <w:shd w:fill="D9E2F3" w:val="clear"/>
            <w:tcMar>
              <w:top w:type="dxa" w:w="60"/>
              <w:left w:type="dxa" w:w="100"/>
              <w:bottom w:type="dxa" w:w="60"/>
              <w:right w:type="dxa" w:w="100"/>
            </w:tcMar>
          </w:tcPr>
          <w:p>
            <w:r>
              <w:rPr>
                <w:b/>
                <w:bCs/>
                <w:sz w:val="20"/>
                <w:szCs w:val="20"/>
              </w:rPr>
              <w:t xml:space="preserve">Corrección aplicada</w:t>
            </w:r>
          </w:p>
        </w:tc>
      </w:tr>
      <w:tr>
        <w:tc>
          <w:tcPr>
            <w:tcW w:type="dxa" w:w="1000"/>
            <w:tcMar>
              <w:top w:type="dxa" w:w="60"/>
              <w:left w:type="dxa" w:w="100"/>
              <w:bottom w:type="dxa" w:w="60"/>
              <w:right w:type="dxa" w:w="100"/>
            </w:tcMar>
          </w:tcPr>
          <w:p>
            <w:r>
              <w:rPr>
                <w:b w:val="false"/>
                <w:bCs w:val="false"/>
                <w:sz w:val="20"/>
                <w:szCs w:val="20"/>
              </w:rPr>
              <w:t xml:space="preserve">BUG-01</w:t>
            </w:r>
          </w:p>
        </w:tc>
        <w:tc>
          <w:tcPr>
            <w:tcW w:type="dxa" w:w="3800"/>
            <w:tcMar>
              <w:top w:type="dxa" w:w="60"/>
              <w:left w:type="dxa" w:w="100"/>
              <w:bottom w:type="dxa" w:w="60"/>
              <w:right w:type="dxa" w:w="100"/>
            </w:tcMar>
          </w:tcPr>
          <w:p>
            <w:r>
              <w:rPr>
                <w:b w:val="false"/>
                <w:bCs w:val="false"/>
                <w:sz w:val="20"/>
                <w:szCs w:val="20"/>
              </w:rPr>
              <w:t xml:space="preserve">El formulario permitía guardar un precio de 0; ir a "Nuevo producto" → precio 0 → guardar</w:t>
            </w:r>
          </w:p>
        </w:tc>
        <w:tc>
          <w:tcPr>
            <w:tcW w:type="dxa" w:w="2000"/>
            <w:tcMar>
              <w:top w:type="dxa" w:w="60"/>
              <w:left w:type="dxa" w:w="100"/>
              <w:bottom w:type="dxa" w:w="60"/>
              <w:right w:type="dxa" w:w="100"/>
            </w:tcMar>
          </w:tcPr>
          <w:p>
            <w:r>
              <w:rPr>
                <w:b w:val="false"/>
                <w:bCs w:val="false"/>
                <w:sz w:val="20"/>
                <w:szCs w:val="20"/>
              </w:rPr>
              <w:t xml:space="preserve">Cerrado (verificado)</w:t>
            </w:r>
          </w:p>
        </w:tc>
        <w:tc>
          <w:tcPr>
            <w:tcW w:type="dxa" w:w="2160"/>
            <w:tcMar>
              <w:top w:type="dxa" w:w="60"/>
              <w:left w:type="dxa" w:w="100"/>
              <w:bottom w:type="dxa" w:w="60"/>
              <w:right w:type="dxa" w:w="100"/>
            </w:tcMar>
          </w:tcPr>
          <w:p>
            <w:r>
              <w:rPr>
                <w:b w:val="false"/>
                <w:bCs w:val="false"/>
                <w:sz w:val="20"/>
                <w:szCs w:val="20"/>
              </w:rPr>
              <w:t xml:space="preserve">Validación: precio debe ser mayor a 0</w:t>
            </w:r>
          </w:p>
        </w:tc>
      </w:tr>
    </w:tbl>
    <w:p>
      <w:pPr>
        <w:spacing w:after="100"/>
      </w:pPr>
    </w:p>
    <w:p>
      <w:pPr>
        <w:pStyle w:val="Heading2"/>
        <w:spacing w:after="120" w:before="250"/>
      </w:pPr>
      <w:r>
        <w:t xml:space="preserve">4. Auditoría a la IA</w:t>
      </w:r>
    </w:p>
    <w:p>
      <w:pPr>
        <w:spacing w:after="150"/>
      </w:pPr>
      <w:r>
        <w:t xml:space="preserve">Al pedir un script YAML de ejemplo, la IA sugirió escribir la contraseña de la base de datos de pruebas directamente en el archivo; se corrigió usando secrets.DB_PASSWORD de GitHub Actions.</w:t>
      </w:r>
    </w:p>
    <w:p>
      <w:pPr>
        <w:pStyle w:val="Heading2"/>
        <w:spacing w:after="120" w:before="250"/>
      </w:pPr>
      <w:r>
        <w:t xml:space="preserve">D. Reflexión</w:t>
      </w:r>
    </w:p>
    <w:p>
      <w:pPr>
        <w:spacing w:after="150"/>
      </w:pPr>
      <w:r>
        <w:t xml:space="preserve">El pipeline dio confianza real de que los cambios no rompían funcionalidad existente, pero también reveló que un pipeline verde no es sinónimo de negocio validado. Próximo paso: preparar la demostración final y retrospectiva de cierre (FPI-16).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2026-10-05T02:27:30.879Z</dcterms:created>
  <dcterms:modified xsi:type="dcterms:W3CDTF">2026-10-05T02:27:30.879Z</dcterms:modified>
</cp:coreProperties>
</file>

<file path=docProps/custom.xml><?xml version="1.0" encoding="utf-8"?>
<Properties xmlns="http://schemas.openxmlformats.org/officeDocument/2006/custom-properties" xmlns:vt="http://schemas.openxmlformats.org/officeDocument/2006/docPropsVTypes"/>
</file>