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16 — Cierre del Ciclo de Vida: Demo, Retrospectiva y Auditoría Ética de IA</w:t>
      </w:r>
    </w:p>
    <w:p>
      <w:pPr>
        <w:spacing w:after="300"/>
      </w:pPr>
      <w:r>
        <w:rPr>
          <w:i/>
          <w:iCs/>
          <w:color w:val="555555"/>
        </w:rPr>
        <w:t xml:space="preserve">Proyecto integrador: StockCentral (Boutique El Manantial) — Taller resuelto y FPI-16</w:t>
      </w:r>
    </w:p>
    <w:p>
      <w:pPr>
        <w:pStyle w:val="Heading1"/>
        <w:spacing w:after="150" w:before="300"/>
      </w:pPr>
      <w:r>
        <w:t xml:space="preserve">Taller</w:t>
      </w:r>
    </w:p>
    <w:p>
      <w:pPr>
        <w:pStyle w:val="Heading2"/>
        <w:spacing w:after="120" w:before="250"/>
      </w:pPr>
      <w:r>
        <w:t xml:space="preserve">Ejercicio 1 (máx. 100 palabras)</w:t>
      </w:r>
    </w:p>
    <w:p>
      <w:pPr>
        <w:pBdr>
          <w:left w:val="single" w:color="888888" w:sz="12" w:space="8"/>
        </w:pBdr>
        <w:spacing w:after="150"/>
        <w:ind w:left="400"/>
      </w:pPr>
      <w:r>
        <w:rPr>
          <w:i/>
          <w:iCs/>
        </w:rPr>
        <w:t xml:space="preserve">Un pipeline en verde solo confirma que el código pasa las pruebas automatizadas que el equipo definió — está verificado según sus propios criterios técnicos. No garantiza que el sistema resuelva el problema real del negocio (validación), porque las pruebas pueden estar bien diseñadas para requisitos mal entendidos, o no cubrir restricciones reales del contexto que solo se descubren al usar el sistema en el entorno real.</w:t>
      </w:r>
    </w:p>
    <w:p>
      <w:pPr>
        <w:pStyle w:val="Heading2"/>
        <w:spacing w:after="120" w:before="250"/>
      </w:pPr>
      <w:r>
        <w:t xml:space="preserve">Ejercicio 2 — Diagnóstico de retrospectiva (80% de PRs de madrugada, Code Review de 3 min)</w:t>
      </w:r>
    </w:p>
    <w:p>
      <w:pPr>
        <w:pBdr>
          <w:left w:val="single" w:color="888888" w:sz="12" w:space="8"/>
        </w:pBdr>
        <w:spacing w:after="150"/>
        <w:ind w:left="400"/>
      </w:pPr>
      <w:r>
        <w:rPr>
          <w:i/>
          <w:iCs/>
        </w:rPr>
        <w:t xml:space="preserve">Diagnóstico: el proceso de calidad del equipo probablemente fue simulado, no real — un Code Review de 3 minutos sin comentarios sugiere aprobación por trámite, y la concentración de trabajo en madrugadas de fin de semana indica una distribución insostenible del esfuerzo. Recomendación: establecer un mínimo de tiempo/comentarios esperados por Code Review, y repartir el trabajo en bloques más pequeños durante la semana.</w:t>
      </w:r>
    </w:p>
    <w:p>
      <w:pPr>
        <w:pStyle w:val="Heading2"/>
        <w:spacing w:after="120" w:before="250"/>
      </w:pPr>
      <w:r>
        <w:t xml:space="preserve">Ejercicio 3 — Métricas reales del repositorio (plantilla a completar por el equipo)</w:t>
      </w:r>
    </w:p>
    <w:p>
      <w:pPr>
        <w:spacing w:after="150"/>
      </w:pPr>
      <w:r>
        <w:t xml:space="preserve">Recolectar del repositorio real: número total de Pull Requests, issues cerrados, tiempo aproximado de Code Review por PR. Con esos datos reales, responder honestamente: ¿el proceso del equipo fue sostenible a lo largo del semestre o se concentró al final? Esta ficha (FPI-16, sección D) trae la tabla lista para diligenciar con esas cifras reales.</w:t>
      </w:r>
    </w:p>
    <w:p>
      <w:pPr>
        <w:pStyle w:val="Heading2"/>
        <w:spacing w:after="120" w:before="250"/>
      </w:pPr>
      <w:r>
        <w:t xml:space="preserve">Ejercicio 4 — Consolidado de auditorías de IA (FPI-01 a FPI-15 ya resueltas)</w:t>
      </w:r>
    </w:p>
    <w:p>
      <w:pPr>
        <w:pBdr>
          <w:left w:val="single" w:color="888888" w:sz="12" w:space="8"/>
        </w:pBdr>
        <w:spacing w:after="150"/>
        <w:ind w:left="400"/>
      </w:pPr>
      <w:r>
        <w:rPr>
          <w:i/>
          <w:iCs/>
        </w:rPr>
        <w:t xml:space="preserve">Revisando las tablas de "Auditoría a la IA" de las 15 fichas ya trabajadas para StockCentral, se identifican consistentemente tres patrones de riesgo: (1) sobrediseño u overengineering — la IA propuso arquitecturas o interfaces innecesarias para el tamaño real del MVP en las guías 3, 9, 10 y 11 (NoSQL distribuido, entidad "Proveedor" sin sustento, diagramas BDUF, interfaces de repositorio innecesarias); (2) criterios o revisiones superficiales — la IA no detectó una contradicción real de requisitos (guía 8), ni un método largo en el controlador (guía 12), ni consideró la criticidad del contexto al recomendar metodología (guía 2); (3) un riesgo de seguridad concreto — la IA sugirió escribir una credencial en texto plano en un script de pipeline (guía 15). En total, el equipo documentó más de 10 correcciones aplicadas a sugerencias de IA a lo largo del semestre, ninguna de ellas copiada sin revisión.</w:t>
      </w:r>
    </w:p>
    <w:p>
      <w:pPr>
        <w:pStyle w:val="Heading2"/>
        <w:spacing w:after="120" w:before="250"/>
      </w:pPr>
      <w:r>
        <w:t xml:space="preserve">Ejercicio 5 — Auditoría a la IA en una autoevaluación de equipo</w:t>
      </w:r>
    </w:p>
    <w:p>
      <w:pPr>
        <w:spacing w:after="150"/>
      </w:pPr>
      <w:r>
        <w:t xml:space="preserve">Documenta tu propio prompt y respuesta reales. Pide a una IA generativa que redacte una autoevaluación del desempeño del equipo durante el semestre. Audita si la IA generó una autoevaluación genérica y positiva sin evidencia real (lo más probable, por defecto), o si te exigió sustentar cada afirmación con datos del repositorio. Corrige cualquier afirmación sin evidencia, anclándola a una métrica real (ej. número de PRs, issues cerrados) en vez de una frase genérica como "el equipo trabajó muy bien en conjunto".</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A lo largo del semestre, el momento donde nuestro equipo estuvo más cerca de confundir "código que funciona" con "problema resuelto" probablemente fue al priorizar funcionalidades del dashboard (FPI-07): es fácil entusiasmarse construyendo gráficos vistosos porque son técnicamente satisfactorios de programar, sin verificar constantemente si eso es lo que la dueña de Boutique El Manantial realmente necesita para tomar decisiones.</w:t>
      </w:r>
    </w:p>
    <w:p>
      <w:pPr>
        <w:pBdr>
          <w:left w:val="single" w:color="888888" w:sz="12" w:space="8"/>
        </w:pBdr>
        <w:spacing w:after="150"/>
        <w:ind w:left="400"/>
      </w:pPr>
      <w:r>
        <w:rPr>
          <w:i/>
          <w:iCs/>
        </w:rPr>
        <w:t xml:space="preserve">La disciplina que más ayudó a evitar ese error fue la Ingeniería de Requisitos (Guías 4-8): volver constantemente a los stakeholders reales y a la trazabilidad de cada funcionalidad hacia una necesidad de negocio concreta, en lugar de dejarnos llevar por lo que era más interesante de construir técnicamente. La auditoría sistemática de IA en cada ficha también cumplió un papel similar: nos obligó a cuestionar si cada sugerencia (una entidad, una arquitectura, una clasificación de prioridad) tenía sustento real en el proyecto, en vez de aceptarla por default.</w:t>
      </w:r>
    </w:p>
    <w:p>
      <w:pPr>
        <w:spacing w:after="100"/>
      </w:pPr>
    </w:p>
    <w:p>
      <w:pPr>
        <w:pStyle w:val="Heading1"/>
        <w:spacing w:after="150" w:before="300"/>
      </w:pPr>
      <w:r>
        <w:t xml:space="preserve">Cuestionario — respuestas correctas</w:t>
      </w:r>
    </w:p>
    <w:p>
      <w:pPr>
        <w:spacing w:after="150"/>
      </w:pPr>
      <w:r>
        <w:t xml:space="preserve">1. B  ·  2. B  ·  3. B  ·  4. B  ·  5. B  ·  6. B  ·  7. B</w:t>
      </w:r>
    </w:p>
    <w:p>
      <w:pPr>
        <w:pStyle w:val="Heading1"/>
        <w:spacing w:after="150" w:before="300"/>
      </w:pPr>
      <w:r>
        <w:t xml:space="preserve">FPI-16 — Ficha de cierre del semestre</w:t>
      </w:r>
    </w:p>
    <w:p>
      <w:pPr>
        <w:spacing w:after="150"/>
      </w:pPr>
      <w:r>
        <w:rPr>
          <w:b/>
          <w:bCs/>
        </w:rPr>
        <w:t xml:space="preserve">Recuperado de FPI-01 a FPI-15: </w:t>
      </w:r>
    </w:p>
    <w:p>
      <w:pPr>
        <w:spacing w:after="150"/>
      </w:pPr>
      <w:r>
        <w:t xml:space="preserve">Las 15 fichas del proyecto StockCentral (Boutique El Manantial) ya resueltas, desde la concepción inicial hasta el pipeline de CI y gestión de defectos.</w:t>
      </w:r>
    </w:p>
    <w:p>
      <w:pPr>
        <w:pStyle w:val="Heading2"/>
        <w:spacing w:after="120" w:before="250"/>
      </w:pPr>
      <w:r>
        <w:t xml:space="preserve">B. Línea de tiempo consolidada del proyecto (FPI-01 a FPI-15)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200"/>
        <w:gridCol w:w="1260"/>
      </w:tblGrid>
      <w:tr>
        <w:tc>
          <w:tcPr>
            <w:tcW w:type="dxa" w:w="1100"/>
            <w:shd w:fill="D9E2F3" w:val="clear"/>
            <w:tcMar>
              <w:top w:type="dxa" w:w="60"/>
              <w:left w:type="dxa" w:w="100"/>
              <w:bottom w:type="dxa" w:w="60"/>
              <w:right w:type="dxa" w:w="100"/>
            </w:tcMar>
          </w:tcPr>
          <w:p>
            <w:r>
              <w:rPr>
                <w:b/>
                <w:bCs/>
                <w:sz w:val="20"/>
                <w:szCs w:val="20"/>
              </w:rPr>
              <w:t xml:space="preserve">Ficha</w:t>
            </w:r>
          </w:p>
        </w:tc>
        <w:tc>
          <w:tcPr>
            <w:tcW w:type="dxa" w:w="4200"/>
            <w:shd w:fill="D9E2F3" w:val="clear"/>
            <w:tcMar>
              <w:top w:type="dxa" w:w="60"/>
              <w:left w:type="dxa" w:w="100"/>
              <w:bottom w:type="dxa" w:w="60"/>
              <w:right w:type="dxa" w:w="100"/>
            </w:tcMar>
          </w:tcPr>
          <w:p>
            <w:r>
              <w:rPr>
                <w:b/>
                <w:bCs/>
                <w:sz w:val="20"/>
                <w:szCs w:val="20"/>
              </w:rPr>
              <w:t xml:space="preserve">Decisión clave registrada</w:t>
            </w:r>
          </w:p>
        </w:tc>
        <w:tc>
          <w:tcPr>
            <w:tcW w:type="dxa" w:w="2200"/>
            <w:shd w:fill="D9E2F3" w:val="clear"/>
            <w:tcMar>
              <w:top w:type="dxa" w:w="60"/>
              <w:left w:type="dxa" w:w="100"/>
              <w:bottom w:type="dxa" w:w="60"/>
              <w:right w:type="dxa" w:w="100"/>
            </w:tcMar>
          </w:tcPr>
          <w:p>
            <w:r>
              <w:rPr>
                <w:b/>
                <w:bCs/>
                <w:sz w:val="20"/>
                <w:szCs w:val="20"/>
              </w:rPr>
              <w:t xml:space="preserve">¿Se mantuvo o cambió?</w:t>
            </w:r>
          </w:p>
        </w:tc>
        <w:tc>
          <w:tcPr>
            <w:tcW w:type="dxa" w:w="1260"/>
            <w:shd w:fill="D9E2F3" w:val="clear"/>
            <w:tcMar>
              <w:top w:type="dxa" w:w="60"/>
              <w:left w:type="dxa" w:w="100"/>
              <w:bottom w:type="dxa" w:w="60"/>
              <w:right w:type="dxa" w:w="100"/>
            </w:tcMar>
          </w:tcPr>
          <w:p>
            <w:r>
              <w:rPr>
                <w:b/>
                <w:bCs/>
                <w:sz w:val="20"/>
                <w:szCs w:val="20"/>
              </w:rPr>
              <w:t xml:space="preserve">Estado final</w:t>
            </w:r>
          </w:p>
        </w:tc>
      </w:tr>
      <w:tr>
        <w:tc>
          <w:tcPr>
            <w:tcW w:type="dxa" w:w="1100"/>
            <w:tcMar>
              <w:top w:type="dxa" w:w="60"/>
              <w:left w:type="dxa" w:w="100"/>
              <w:bottom w:type="dxa" w:w="60"/>
              <w:right w:type="dxa" w:w="100"/>
            </w:tcMar>
          </w:tcPr>
          <w:p>
            <w:r>
              <w:rPr>
                <w:b w:val="false"/>
                <w:bCs w:val="false"/>
                <w:sz w:val="20"/>
                <w:szCs w:val="20"/>
              </w:rPr>
              <w:t xml:space="preserve">FPI-01</w:t>
            </w:r>
          </w:p>
        </w:tc>
        <w:tc>
          <w:tcPr>
            <w:tcW w:type="dxa" w:w="4200"/>
            <w:tcMar>
              <w:top w:type="dxa" w:w="60"/>
              <w:left w:type="dxa" w:w="100"/>
              <w:bottom w:type="dxa" w:w="60"/>
              <w:right w:type="dxa" w:w="100"/>
            </w:tcMar>
          </w:tcPr>
          <w:p>
            <w:r>
              <w:rPr>
                <w:b w:val="false"/>
                <w:bCs w:val="false"/>
                <w:sz w:val="20"/>
                <w:szCs w:val="20"/>
              </w:rPr>
              <w:t xml:space="preserve">Delimitación del problema: control de inventario y ventas de Boutique El Manantial</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FPI-02</w:t>
            </w:r>
          </w:p>
        </w:tc>
        <w:tc>
          <w:tcPr>
            <w:tcW w:type="dxa" w:w="4200"/>
            <w:tcMar>
              <w:top w:type="dxa" w:w="60"/>
              <w:left w:type="dxa" w:w="100"/>
              <w:bottom w:type="dxa" w:w="60"/>
              <w:right w:type="dxa" w:w="100"/>
            </w:tcMar>
          </w:tcPr>
          <w:p>
            <w:r>
              <w:rPr>
                <w:b w:val="false"/>
                <w:bCs w:val="false"/>
                <w:sz w:val="20"/>
                <w:szCs w:val="20"/>
              </w:rPr>
              <w:t xml:space="preserve">Selección de modelo Ágil (Scrum) por criticidad media-baja y alta disponibilidad de la dueña</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FPI-03</w:t>
            </w:r>
          </w:p>
        </w:tc>
        <w:tc>
          <w:tcPr>
            <w:tcW w:type="dxa" w:w="4200"/>
            <w:tcMar>
              <w:top w:type="dxa" w:w="60"/>
              <w:left w:type="dxa" w:w="100"/>
              <w:bottom w:type="dxa" w:w="60"/>
              <w:right w:type="dxa" w:w="100"/>
            </w:tcMar>
          </w:tcPr>
          <w:p>
            <w:r>
              <w:rPr>
                <w:b w:val="false"/>
                <w:bCs w:val="false"/>
                <w:sz w:val="20"/>
                <w:szCs w:val="20"/>
              </w:rPr>
              <w:t xml:space="preserve">Tablero con WIP 2/1 y Definition of Done del equipo</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FPI-04</w:t>
            </w:r>
          </w:p>
        </w:tc>
        <w:tc>
          <w:tcPr>
            <w:tcW w:type="dxa" w:w="4200"/>
            <w:tcMar>
              <w:top w:type="dxa" w:w="60"/>
              <w:left w:type="dxa" w:w="100"/>
              <w:bottom w:type="dxa" w:w="60"/>
              <w:right w:type="dxa" w:w="100"/>
            </w:tcMar>
          </w:tcPr>
          <w:p>
            <w:r>
              <w:rPr>
                <w:b w:val="false"/>
                <w:bCs w:val="false"/>
                <w:sz w:val="20"/>
                <w:szCs w:val="20"/>
              </w:rPr>
              <w:t xml:space="preserve">Mapa ampliado de 5 stakeholders (Pressman)</w:t>
            </w:r>
          </w:p>
        </w:tc>
        <w:tc>
          <w:tcPr>
            <w:tcW w:type="dxa" w:w="2200"/>
            <w:tcMar>
              <w:top w:type="dxa" w:w="60"/>
              <w:left w:type="dxa" w:w="100"/>
              <w:bottom w:type="dxa" w:w="60"/>
              <w:right w:type="dxa" w:w="100"/>
            </w:tcMar>
          </w:tcPr>
          <w:p>
            <w:r>
              <w:rPr>
                <w:b w:val="false"/>
                <w:bCs w:val="false"/>
                <w:sz w:val="20"/>
                <w:szCs w:val="20"/>
              </w:rPr>
              <w:t xml:space="preserve">Se amplió respecto a FPI-01</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FPI-05</w:t>
            </w:r>
          </w:p>
        </w:tc>
        <w:tc>
          <w:tcPr>
            <w:tcW w:type="dxa" w:w="4200"/>
            <w:tcMar>
              <w:top w:type="dxa" w:w="60"/>
              <w:left w:type="dxa" w:w="100"/>
              <w:bottom w:type="dxa" w:w="60"/>
              <w:right w:type="dxa" w:w="100"/>
            </w:tcMar>
          </w:tcPr>
          <w:p>
            <w:r>
              <w:rPr>
                <w:b w:val="false"/>
                <w:bCs w:val="false"/>
                <w:sz w:val="20"/>
                <w:szCs w:val="20"/>
              </w:rPr>
              <w:t xml:space="preserve">Catálogo de 3 RF, 2 RNF y 1 restricción</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FPI-06</w:t>
            </w:r>
          </w:p>
        </w:tc>
        <w:tc>
          <w:tcPr>
            <w:tcW w:type="dxa" w:w="4200"/>
            <w:tcMar>
              <w:top w:type="dxa" w:w="60"/>
              <w:left w:type="dxa" w:w="100"/>
              <w:bottom w:type="dxa" w:w="60"/>
              <w:right w:type="dxa" w:w="100"/>
            </w:tcMar>
          </w:tcPr>
          <w:p>
            <w:r>
              <w:rPr>
                <w:b w:val="false"/>
                <w:bCs w:val="false"/>
                <w:sz w:val="20"/>
                <w:szCs w:val="20"/>
              </w:rPr>
              <w:t xml:space="preserve">Historias de usuario con Gherkin + caso de uso "Registrar venta"</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FPI-07</w:t>
            </w:r>
          </w:p>
        </w:tc>
        <w:tc>
          <w:tcPr>
            <w:tcW w:type="dxa" w:w="4200"/>
            <w:tcMar>
              <w:top w:type="dxa" w:w="60"/>
              <w:left w:type="dxa" w:w="100"/>
              <w:bottom w:type="dxa" w:w="60"/>
              <w:right w:type="dxa" w:w="100"/>
            </w:tcMar>
          </w:tcPr>
          <w:p>
            <w:r>
              <w:rPr>
                <w:b w:val="false"/>
                <w:bCs w:val="false"/>
                <w:sz w:val="20"/>
                <w:szCs w:val="20"/>
              </w:rPr>
              <w:t xml:space="preserve">Priorización MoSCoW: registro de producto y venta como Must Have</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FPI-08</w:t>
            </w:r>
          </w:p>
        </w:tc>
        <w:tc>
          <w:tcPr>
            <w:tcW w:type="dxa" w:w="4200"/>
            <w:tcMar>
              <w:top w:type="dxa" w:w="60"/>
              <w:left w:type="dxa" w:w="100"/>
              <w:bottom w:type="dxa" w:w="60"/>
              <w:right w:type="dxa" w:w="100"/>
            </w:tcMar>
          </w:tcPr>
          <w:p>
            <w:r>
              <w:rPr>
                <w:b w:val="false"/>
                <w:bCs w:val="false"/>
                <w:sz w:val="20"/>
                <w:szCs w:val="20"/>
              </w:rPr>
              <w:t xml:space="preserve">RTF detectó y corrigió 3 defectos de ambigüedad/omisión/contradicción</w:t>
            </w:r>
          </w:p>
        </w:tc>
        <w:tc>
          <w:tcPr>
            <w:tcW w:type="dxa" w:w="2200"/>
            <w:tcMar>
              <w:top w:type="dxa" w:w="60"/>
              <w:left w:type="dxa" w:w="100"/>
              <w:bottom w:type="dxa" w:w="60"/>
              <w:right w:type="dxa" w:w="100"/>
            </w:tcMar>
          </w:tcPr>
          <w:p>
            <w:r>
              <w:rPr>
                <w:b w:val="false"/>
                <w:bCs w:val="false"/>
                <w:sz w:val="20"/>
                <w:szCs w:val="20"/>
              </w:rPr>
              <w:t xml:space="preserve">Corregido tras revisión</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FPI-09</w:t>
            </w:r>
          </w:p>
        </w:tc>
        <w:tc>
          <w:tcPr>
            <w:tcW w:type="dxa" w:w="4200"/>
            <w:tcMar>
              <w:top w:type="dxa" w:w="60"/>
              <w:left w:type="dxa" w:w="100"/>
              <w:bottom w:type="dxa" w:w="60"/>
              <w:right w:type="dxa" w:w="100"/>
            </w:tcMar>
          </w:tcPr>
          <w:p>
            <w:r>
              <w:rPr>
                <w:b w:val="false"/>
                <w:bCs w:val="false"/>
                <w:sz w:val="20"/>
                <w:szCs w:val="20"/>
              </w:rPr>
              <w:t xml:space="preserve">Modelo de dominio con 4 entidades y 3 reglas de negocio</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FPI-10</w:t>
            </w:r>
          </w:p>
        </w:tc>
        <w:tc>
          <w:tcPr>
            <w:tcW w:type="dxa" w:w="4200"/>
            <w:tcMar>
              <w:top w:type="dxa" w:w="60"/>
              <w:left w:type="dxa" w:w="100"/>
              <w:bottom w:type="dxa" w:w="60"/>
              <w:right w:type="dxa" w:w="100"/>
            </w:tcMar>
          </w:tcPr>
          <w:p>
            <w:r>
              <w:rPr>
                <w:b w:val="false"/>
                <w:bCs w:val="false"/>
                <w:sz w:val="20"/>
                <w:szCs w:val="20"/>
              </w:rPr>
              <w:t xml:space="preserve">Diagrama de secuencia solo para el flujo crítico de venta</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FPI-11</w:t>
            </w:r>
          </w:p>
        </w:tc>
        <w:tc>
          <w:tcPr>
            <w:tcW w:type="dxa" w:w="4200"/>
            <w:tcMar>
              <w:top w:type="dxa" w:w="60"/>
              <w:left w:type="dxa" w:w="100"/>
              <w:bottom w:type="dxa" w:w="60"/>
              <w:right w:type="dxa" w:w="100"/>
            </w:tcMar>
          </w:tcPr>
          <w:p>
            <w:r>
              <w:rPr>
                <w:b w:val="false"/>
                <w:bCs w:val="false"/>
                <w:sz w:val="20"/>
                <w:szCs w:val="20"/>
              </w:rPr>
              <w:t xml:space="preserve">Refactorización SRP de VentaService y DashboardController</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FPI-12</w:t>
            </w:r>
          </w:p>
        </w:tc>
        <w:tc>
          <w:tcPr>
            <w:tcW w:type="dxa" w:w="4200"/>
            <w:tcMar>
              <w:top w:type="dxa" w:w="60"/>
              <w:left w:type="dxa" w:w="100"/>
              <w:bottom w:type="dxa" w:w="60"/>
              <w:right w:type="dxa" w:w="100"/>
            </w:tcMar>
          </w:tcPr>
          <w:p>
            <w:r>
              <w:rPr>
                <w:b w:val="false"/>
                <w:bCs w:val="false"/>
                <w:sz w:val="20"/>
                <w:szCs w:val="20"/>
              </w:rPr>
              <w:t xml:space="preserve">2 code smells corregidos (Feature Envy, método largo)</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FPI-13</w:t>
            </w:r>
          </w:p>
        </w:tc>
        <w:tc>
          <w:tcPr>
            <w:tcW w:type="dxa" w:w="4200"/>
            <w:tcMar>
              <w:top w:type="dxa" w:w="60"/>
              <w:left w:type="dxa" w:w="100"/>
              <w:bottom w:type="dxa" w:w="60"/>
              <w:right w:type="dxa" w:w="100"/>
            </w:tcMar>
          </w:tcPr>
          <w:p>
            <w:r>
              <w:rPr>
                <w:b w:val="false"/>
                <w:bCs w:val="false"/>
                <w:sz w:val="20"/>
                <w:szCs w:val="20"/>
              </w:rPr>
              <w:t xml:space="preserve">GitHub Flow adoptado; primer release v0.1.0</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FPI-14</w:t>
            </w:r>
          </w:p>
        </w:tc>
        <w:tc>
          <w:tcPr>
            <w:tcW w:type="dxa" w:w="4200"/>
            <w:tcMar>
              <w:top w:type="dxa" w:w="60"/>
              <w:left w:type="dxa" w:w="100"/>
              <w:bottom w:type="dxa" w:w="60"/>
              <w:right w:type="dxa" w:w="100"/>
            </w:tcMar>
          </w:tcPr>
          <w:p>
            <w:r>
              <w:rPr>
                <w:b w:val="false"/>
                <w:bCs w:val="false"/>
                <w:sz w:val="20"/>
                <w:szCs w:val="20"/>
              </w:rPr>
              <w:t xml:space="preserve">Suite de pruebas con Stub/Mock para VentaService</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r>
        <w:tc>
          <w:tcPr>
            <w:tcW w:type="dxa" w:w="1100"/>
            <w:tcMar>
              <w:top w:type="dxa" w:w="60"/>
              <w:left w:type="dxa" w:w="100"/>
              <w:bottom w:type="dxa" w:w="60"/>
              <w:right w:type="dxa" w:w="100"/>
            </w:tcMar>
          </w:tcPr>
          <w:p>
            <w:r>
              <w:rPr>
                <w:b w:val="false"/>
                <w:bCs w:val="false"/>
                <w:sz w:val="20"/>
                <w:szCs w:val="20"/>
              </w:rPr>
              <w:t xml:space="preserve">FPI-15</w:t>
            </w:r>
          </w:p>
        </w:tc>
        <w:tc>
          <w:tcPr>
            <w:tcW w:type="dxa" w:w="4200"/>
            <w:tcMar>
              <w:top w:type="dxa" w:w="60"/>
              <w:left w:type="dxa" w:w="100"/>
              <w:bottom w:type="dxa" w:w="60"/>
              <w:right w:type="dxa" w:w="100"/>
            </w:tcMar>
          </w:tcPr>
          <w:p>
            <w:r>
              <w:rPr>
                <w:b w:val="false"/>
                <w:bCs w:val="false"/>
                <w:sz w:val="20"/>
                <w:szCs w:val="20"/>
              </w:rPr>
              <w:t xml:space="preserve">Pipeline de CI con build/lint/test bloqueando fusiones fallidas</w:t>
            </w:r>
          </w:p>
        </w:tc>
        <w:tc>
          <w:tcPr>
            <w:tcW w:type="dxa" w:w="2200"/>
            <w:tcMar>
              <w:top w:type="dxa" w:w="60"/>
              <w:left w:type="dxa" w:w="100"/>
              <w:bottom w:type="dxa" w:w="60"/>
              <w:right w:type="dxa" w:w="100"/>
            </w:tcMar>
          </w:tcPr>
          <w:p>
            <w:r>
              <w:rPr>
                <w:b w:val="false"/>
                <w:bCs w:val="false"/>
                <w:sz w:val="20"/>
                <w:szCs w:val="20"/>
              </w:rPr>
              <w:t xml:space="preserve">Se mantuvo</w:t>
            </w:r>
          </w:p>
        </w:tc>
        <w:tc>
          <w:tcPr>
            <w:tcW w:type="dxa" w:w="1260"/>
            <w:tcMar>
              <w:top w:type="dxa" w:w="60"/>
              <w:left w:type="dxa" w:w="100"/>
              <w:bottom w:type="dxa" w:w="60"/>
              <w:right w:type="dxa" w:w="100"/>
            </w:tcMar>
          </w:tcPr>
          <w:p>
            <w:r>
              <w:rPr>
                <w:b w:val="false"/>
                <w:bCs w:val="false"/>
                <w:sz w:val="20"/>
                <w:szCs w:val="20"/>
              </w:rPr>
              <w:t xml:space="preserve">Cerrado</w:t>
            </w:r>
          </w:p>
        </w:tc>
      </w:tr>
    </w:tbl>
    <w:p>
      <w:pPr>
        <w:spacing w:after="100"/>
      </w:pPr>
    </w:p>
    <w:p>
      <w:pPr>
        <w:pStyle w:val="Heading2"/>
        <w:spacing w:after="120" w:before="250"/>
      </w:pPr>
      <w:r>
        <w:t xml:space="preserve">C. Demostración en vivo del MVP (Demo Day)</w:t>
      </w:r>
    </w:p>
    <w:p>
      <w:pPr>
        <w:spacing w:after="150"/>
      </w:pPr>
      <w:r>
        <w:rPr>
          <w:b/>
          <w:bCs/>
        </w:rPr>
        <w:t xml:space="preserve">Flujo(s) crítico(s) demostrado(s) y evidencia: </w:t>
      </w:r>
    </w:p>
    <w:p>
      <w:pPr>
        <w:spacing w:after="150"/>
      </w:pPr>
      <w:r>
        <w:t xml:space="preserve">"Registrar venta con validación de stock" (el flujo más crítico identificado desde la FPI-10), mostrando además el dashboard actualizándose en tiempo real tras la venta. Adjuntar o referenciar en el repositorio del equipo el video o las capturas de esta demostración.</w:t>
      </w:r>
    </w:p>
    <w:p>
      <w:pPr>
        <w:spacing w:after="150"/>
      </w:pPr>
      <w:r>
        <w:rPr>
          <w:b/>
          <w:bCs/>
        </w:rPr>
        <w:t xml:space="preserve">Retroalimentación real de la organización beneficiaria: </w:t>
      </w:r>
    </w:p>
    <w:p>
      <w:pPr>
        <w:pBdr>
          <w:left w:val="single" w:color="888888" w:sz="12" w:space="8"/>
        </w:pBdr>
        <w:spacing w:after="150"/>
        <w:ind w:left="400"/>
      </w:pPr>
      <w:r>
        <w:rPr>
          <w:i/>
          <w:iCs/>
        </w:rPr>
        <w:t xml:space="preserve">Plantilla a diligenciar por el equipo: si fue posible mostrarle el MVP a la dueña real de la tienda (o a quien represente a Boutique El Manantial en este ejercicio académico), registrar aquí textualmente su reacción y comentarios. Si no fue posible validarlo directamente con ella, el equipo debe indicarlo con honestidad en vez de inventar una retroalimentación positiva.</w:t>
      </w:r>
    </w:p>
    <w:p>
      <w:pPr>
        <w:pStyle w:val="Heading2"/>
        <w:spacing w:after="120" w:before="250"/>
      </w:pPr>
      <w:r>
        <w:t xml:space="preserve">D. Retrospectiva cuantitativa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60"/>
              <w:left w:type="dxa" w:w="100"/>
              <w:bottom w:type="dxa" w:w="60"/>
              <w:right w:type="dxa" w:w="100"/>
            </w:tcMar>
          </w:tcPr>
          <w:p>
            <w:r>
              <w:rPr>
                <w:b/>
                <w:bCs/>
                <w:sz w:val="20"/>
                <w:szCs w:val="20"/>
              </w:rPr>
              <w:t xml:space="preserve">Métrica del repositorio</w:t>
            </w:r>
          </w:p>
        </w:tc>
        <w:tc>
          <w:tcPr>
            <w:tcW w:type="dxa" w:w="4680"/>
            <w:shd w:fill="D9E2F3" w:val="clear"/>
            <w:tcMar>
              <w:top w:type="dxa" w:w="60"/>
              <w:left w:type="dxa" w:w="100"/>
              <w:bottom w:type="dxa" w:w="60"/>
              <w:right w:type="dxa" w:w="100"/>
            </w:tcMar>
          </w:tcPr>
          <w:p>
            <w:r>
              <w:rPr>
                <w:b/>
                <w:bCs/>
                <w:sz w:val="20"/>
                <w:szCs w:val="20"/>
              </w:rPr>
              <w:t xml:space="preserve">Valor real del equipo</w:t>
            </w:r>
          </w:p>
        </w:tc>
      </w:tr>
      <w:tr>
        <w:tc>
          <w:tcPr>
            <w:tcW w:type="dxa" w:w="4680"/>
            <w:tcMar>
              <w:top w:type="dxa" w:w="60"/>
              <w:left w:type="dxa" w:w="100"/>
              <w:bottom w:type="dxa" w:w="60"/>
              <w:right w:type="dxa" w:w="100"/>
            </w:tcMar>
          </w:tcPr>
          <w:p>
            <w:r>
              <w:rPr>
                <w:b w:val="false"/>
                <w:bCs w:val="false"/>
                <w:sz w:val="20"/>
                <w:szCs w:val="20"/>
              </w:rPr>
              <w:t xml:space="preserve">Total de PRs fusionados</w:t>
            </w:r>
          </w:p>
        </w:tc>
        <w:tc>
          <w:tcPr>
            <w:tcW w:type="dxa" w:w="4680"/>
            <w:tcMar>
              <w:top w:type="dxa" w:w="60"/>
              <w:left w:type="dxa" w:w="100"/>
              <w:bottom w:type="dxa" w:w="60"/>
              <w:right w:type="dxa" w:w="100"/>
            </w:tcMar>
          </w:tcPr>
          <w:p>
            <w:r>
              <w:rPr>
                <w:b w:val="false"/>
                <w:bCs w:val="false"/>
                <w:sz w:val="20"/>
                <w:szCs w:val="20"/>
              </w:rPr>
              <w:t xml:space="preserve">(completar con el dato real del repositorio)</w:t>
            </w:r>
          </w:p>
        </w:tc>
      </w:tr>
      <w:tr>
        <w:tc>
          <w:tcPr>
            <w:tcW w:type="dxa" w:w="4680"/>
            <w:tcMar>
              <w:top w:type="dxa" w:w="60"/>
              <w:left w:type="dxa" w:w="100"/>
              <w:bottom w:type="dxa" w:w="60"/>
              <w:right w:type="dxa" w:w="100"/>
            </w:tcMar>
          </w:tcPr>
          <w:p>
            <w:r>
              <w:rPr>
                <w:b w:val="false"/>
                <w:bCs w:val="false"/>
                <w:sz w:val="20"/>
                <w:szCs w:val="20"/>
              </w:rPr>
              <w:t xml:space="preserve">Tiempo promedio de Code Review</w:t>
            </w:r>
          </w:p>
        </w:tc>
        <w:tc>
          <w:tcPr>
            <w:tcW w:type="dxa" w:w="4680"/>
            <w:tcMar>
              <w:top w:type="dxa" w:w="60"/>
              <w:left w:type="dxa" w:w="100"/>
              <w:bottom w:type="dxa" w:w="60"/>
              <w:right w:type="dxa" w:w="100"/>
            </w:tcMar>
          </w:tcPr>
          <w:p>
            <w:r>
              <w:rPr>
                <w:b w:val="false"/>
                <w:bCs w:val="false"/>
                <w:sz w:val="20"/>
                <w:szCs w:val="20"/>
              </w:rPr>
              <w:t xml:space="preserve">(completar con el dato real)</w:t>
            </w:r>
          </w:p>
        </w:tc>
      </w:tr>
      <w:tr>
        <w:tc>
          <w:tcPr>
            <w:tcW w:type="dxa" w:w="4680"/>
            <w:tcMar>
              <w:top w:type="dxa" w:w="60"/>
              <w:left w:type="dxa" w:w="100"/>
              <w:bottom w:type="dxa" w:w="60"/>
              <w:right w:type="dxa" w:w="100"/>
            </w:tcMar>
          </w:tcPr>
          <w:p>
            <w:r>
              <w:rPr>
                <w:b w:val="false"/>
                <w:bCs w:val="false"/>
                <w:sz w:val="20"/>
                <w:szCs w:val="20"/>
              </w:rPr>
              <w:t xml:space="preserve">Issues cerrados vs. abiertos</w:t>
            </w:r>
          </w:p>
        </w:tc>
        <w:tc>
          <w:tcPr>
            <w:tcW w:type="dxa" w:w="4680"/>
            <w:tcMar>
              <w:top w:type="dxa" w:w="60"/>
              <w:left w:type="dxa" w:w="100"/>
              <w:bottom w:type="dxa" w:w="60"/>
              <w:right w:type="dxa" w:w="100"/>
            </w:tcMar>
          </w:tcPr>
          <w:p>
            <w:r>
              <w:rPr>
                <w:b w:val="false"/>
                <w:bCs w:val="false"/>
                <w:sz w:val="20"/>
                <w:szCs w:val="20"/>
              </w:rPr>
              <w:t xml:space="preserve">(completar con el dato real)</w:t>
            </w:r>
          </w:p>
        </w:tc>
      </w:tr>
      <w:tr>
        <w:tc>
          <w:tcPr>
            <w:tcW w:type="dxa" w:w="4680"/>
            <w:tcMar>
              <w:top w:type="dxa" w:w="60"/>
              <w:left w:type="dxa" w:w="100"/>
              <w:bottom w:type="dxa" w:w="60"/>
              <w:right w:type="dxa" w:w="100"/>
            </w:tcMar>
          </w:tcPr>
          <w:p>
            <w:r>
              <w:rPr>
                <w:b w:val="false"/>
                <w:bCs w:val="false"/>
                <w:sz w:val="20"/>
                <w:szCs w:val="20"/>
              </w:rPr>
              <w:t xml:space="preserve">Distribución de commits en el tiempo</w:t>
            </w:r>
          </w:p>
        </w:tc>
        <w:tc>
          <w:tcPr>
            <w:tcW w:type="dxa" w:w="4680"/>
            <w:tcMar>
              <w:top w:type="dxa" w:w="60"/>
              <w:left w:type="dxa" w:w="100"/>
              <w:bottom w:type="dxa" w:w="60"/>
              <w:right w:type="dxa" w:w="100"/>
            </w:tcMar>
          </w:tcPr>
          <w:p>
            <w:r>
              <w:rPr>
                <w:b w:val="false"/>
                <w:bCs w:val="false"/>
                <w:sz w:val="20"/>
                <w:szCs w:val="20"/>
              </w:rPr>
              <w:t xml:space="preserve">(completar: ¿concentrados al final o repartidos?)</w:t>
            </w:r>
          </w:p>
        </w:tc>
      </w:tr>
      <w:tr>
        <w:tc>
          <w:tcPr>
            <w:tcW w:type="dxa" w:w="4680"/>
            <w:tcMar>
              <w:top w:type="dxa" w:w="60"/>
              <w:left w:type="dxa" w:w="100"/>
              <w:bottom w:type="dxa" w:w="60"/>
              <w:right w:type="dxa" w:w="100"/>
            </w:tcMar>
          </w:tcPr>
          <w:p>
            <w:r>
              <w:rPr>
                <w:b w:val="false"/>
                <w:bCs w:val="false"/>
                <w:sz w:val="20"/>
                <w:szCs w:val="20"/>
              </w:rPr>
              <w:t xml:space="preserve">Número de releases (tags SemVer)</w:t>
            </w:r>
          </w:p>
        </w:tc>
        <w:tc>
          <w:tcPr>
            <w:tcW w:type="dxa" w:w="4680"/>
            <w:tcMar>
              <w:top w:type="dxa" w:w="60"/>
              <w:left w:type="dxa" w:w="100"/>
              <w:bottom w:type="dxa" w:w="60"/>
              <w:right w:type="dxa" w:w="100"/>
            </w:tcMar>
          </w:tcPr>
          <w:p>
            <w:r>
              <w:rPr>
                <w:b w:val="false"/>
                <w:bCs w:val="false"/>
                <w:sz w:val="20"/>
                <w:szCs w:val="20"/>
              </w:rPr>
              <w:t xml:space="preserve">(completar, p. ej. v0.1.0, v0.2.0...)</w:t>
            </w:r>
          </w:p>
        </w:tc>
      </w:tr>
    </w:tbl>
    <w:p>
      <w:pPr>
        <w:spacing w:after="100"/>
      </w:pPr>
    </w:p>
    <w:p>
      <w:pPr>
        <w:spacing w:after="150"/>
      </w:pPr>
      <w:r>
        <w:rPr>
          <w:b/>
          <w:bCs/>
        </w:rPr>
        <w:t xml:space="preserve">Diagnóstico honesto del proceso del equipo: </w:t>
      </w:r>
    </w:p>
    <w:p>
      <w:pPr>
        <w:pBdr>
          <w:left w:val="single" w:color="888888" w:sz="12" w:space="8"/>
        </w:pBdr>
        <w:spacing w:after="150"/>
        <w:ind w:left="400"/>
      </w:pPr>
      <w:r>
        <w:rPr>
          <w:i/>
          <w:iCs/>
        </w:rPr>
        <w:t xml:space="preserve">Plantilla a diligenciar: ¿el trabajo fue sostenible y distribuido a lo largo del semestre, o se concentró al final (patrón de riesgo descrito en el Ejercicio 2)? ¿El Code Review fue riguroso (con comentarios sustantivos) o superficial (aprobación por trámite)? ¿Qué cuello de botella identifica el equipo (ej. dependencia de una sola persona, falta de comunicación, acumulación de tareas en Code Review)?</w:t>
      </w:r>
    </w:p>
    <w:p>
      <w:pPr>
        <w:pStyle w:val="Heading2"/>
        <w:spacing w:after="120" w:before="250"/>
      </w:pPr>
      <w:r>
        <w:t xml:space="preserve">E. Bitácora científica de auditoría de IA (consolidado del semestre)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D9E2F3" w:val="clear"/>
            <w:tcMar>
              <w:top w:type="dxa" w:w="60"/>
              <w:left w:type="dxa" w:w="100"/>
              <w:bottom w:type="dxa" w:w="60"/>
              <w:right w:type="dxa" w:w="100"/>
            </w:tcMar>
          </w:tcPr>
          <w:p>
            <w:r>
              <w:rPr>
                <w:b/>
                <w:bCs/>
                <w:sz w:val="20"/>
                <w:szCs w:val="20"/>
              </w:rPr>
              <w:t xml:space="preserve">Indicador de auditoría de IA</w:t>
            </w:r>
          </w:p>
        </w:tc>
        <w:tc>
          <w:tcPr>
            <w:tcW w:type="dxa" w:w="5760"/>
            <w:shd w:fill="D9E2F3" w:val="clear"/>
            <w:tcMar>
              <w:top w:type="dxa" w:w="60"/>
              <w:left w:type="dxa" w:w="100"/>
              <w:bottom w:type="dxa" w:w="60"/>
              <w:right w:type="dxa" w:w="100"/>
            </w:tcMar>
          </w:tcPr>
          <w:p>
            <w:r>
              <w:rPr>
                <w:b/>
                <w:bCs/>
                <w:sz w:val="20"/>
                <w:szCs w:val="20"/>
              </w:rPr>
              <w:t xml:space="preserve">Valor o resumen consolidado</w:t>
            </w:r>
          </w:p>
        </w:tc>
      </w:tr>
      <w:tr>
        <w:tc>
          <w:tcPr>
            <w:tcW w:type="dxa" w:w="3600"/>
            <w:tcMar>
              <w:top w:type="dxa" w:w="60"/>
              <w:left w:type="dxa" w:w="100"/>
              <w:bottom w:type="dxa" w:w="60"/>
              <w:right w:type="dxa" w:w="100"/>
            </w:tcMar>
          </w:tcPr>
          <w:p>
            <w:r>
              <w:rPr>
                <w:b w:val="false"/>
                <w:bCs w:val="false"/>
                <w:sz w:val="20"/>
                <w:szCs w:val="20"/>
              </w:rPr>
              <w:t xml:space="preserve">Casos de sobrediseño/overengineering detectados</w:t>
            </w:r>
          </w:p>
        </w:tc>
        <w:tc>
          <w:tcPr>
            <w:tcW w:type="dxa" w:w="5760"/>
            <w:tcMar>
              <w:top w:type="dxa" w:w="60"/>
              <w:left w:type="dxa" w:w="100"/>
              <w:bottom w:type="dxa" w:w="60"/>
              <w:right w:type="dxa" w:w="100"/>
            </w:tcMar>
          </w:tcPr>
          <w:p>
            <w:r>
              <w:rPr>
                <w:b w:val="false"/>
                <w:bCs w:val="false"/>
                <w:sz w:val="20"/>
                <w:szCs w:val="20"/>
              </w:rPr>
              <w:t xml:space="preserve">4 (Guías 3, 9, 10 y 11: NoSQL innecesario, entidad sin sustento, BDUF, interfaces innecesarias)</w:t>
            </w:r>
          </w:p>
        </w:tc>
      </w:tr>
      <w:tr>
        <w:tc>
          <w:tcPr>
            <w:tcW w:type="dxa" w:w="3600"/>
            <w:tcMar>
              <w:top w:type="dxa" w:w="60"/>
              <w:left w:type="dxa" w:w="100"/>
              <w:bottom w:type="dxa" w:w="60"/>
              <w:right w:type="dxa" w:w="100"/>
            </w:tcMar>
          </w:tcPr>
          <w:p>
            <w:r>
              <w:rPr>
                <w:b w:val="false"/>
                <w:bCs w:val="false"/>
                <w:sz w:val="20"/>
                <w:szCs w:val="20"/>
              </w:rPr>
              <w:t xml:space="preserve">Revisiones o criterios superficiales detectados</w:t>
            </w:r>
          </w:p>
        </w:tc>
        <w:tc>
          <w:tcPr>
            <w:tcW w:type="dxa" w:w="5760"/>
            <w:tcMar>
              <w:top w:type="dxa" w:w="60"/>
              <w:left w:type="dxa" w:w="100"/>
              <w:bottom w:type="dxa" w:w="60"/>
              <w:right w:type="dxa" w:w="100"/>
            </w:tcMar>
          </w:tcPr>
          <w:p>
            <w:r>
              <w:rPr>
                <w:b w:val="false"/>
                <w:bCs w:val="false"/>
                <w:sz w:val="20"/>
                <w:szCs w:val="20"/>
              </w:rPr>
              <w:t xml:space="preserve">3 (Guías 2, 8 y 12: recomendación sin considerar criticidad, contradicción no detectada, método largo no detectado)</w:t>
            </w:r>
          </w:p>
        </w:tc>
      </w:tr>
      <w:tr>
        <w:tc>
          <w:tcPr>
            <w:tcW w:type="dxa" w:w="3600"/>
            <w:tcMar>
              <w:top w:type="dxa" w:w="60"/>
              <w:left w:type="dxa" w:w="100"/>
              <w:bottom w:type="dxa" w:w="60"/>
              <w:right w:type="dxa" w:w="100"/>
            </w:tcMar>
          </w:tcPr>
          <w:p>
            <w:r>
              <w:rPr>
                <w:b w:val="false"/>
                <w:bCs w:val="false"/>
                <w:sz w:val="20"/>
                <w:szCs w:val="20"/>
              </w:rPr>
              <w:t xml:space="preserve">Riesgos de seguridad detectados</w:t>
            </w:r>
          </w:p>
        </w:tc>
        <w:tc>
          <w:tcPr>
            <w:tcW w:type="dxa" w:w="5760"/>
            <w:tcMar>
              <w:top w:type="dxa" w:w="60"/>
              <w:left w:type="dxa" w:w="100"/>
              <w:bottom w:type="dxa" w:w="60"/>
              <w:right w:type="dxa" w:w="100"/>
            </w:tcMar>
          </w:tcPr>
          <w:p>
            <w:r>
              <w:rPr>
                <w:b w:val="false"/>
                <w:bCs w:val="false"/>
                <w:sz w:val="20"/>
                <w:szCs w:val="20"/>
              </w:rPr>
              <w:t xml:space="preserve">1 (Guía 15: credencial sugerida en texto plano)</w:t>
            </w:r>
          </w:p>
        </w:tc>
      </w:tr>
      <w:tr>
        <w:tc>
          <w:tcPr>
            <w:tcW w:type="dxa" w:w="3600"/>
            <w:tcMar>
              <w:top w:type="dxa" w:w="60"/>
              <w:left w:type="dxa" w:w="100"/>
              <w:bottom w:type="dxa" w:w="60"/>
              <w:right w:type="dxa" w:w="100"/>
            </w:tcMar>
          </w:tcPr>
          <w:p>
            <w:r>
              <w:rPr>
                <w:b w:val="false"/>
                <w:bCs w:val="false"/>
                <w:sz w:val="20"/>
                <w:szCs w:val="20"/>
              </w:rPr>
              <w:t xml:space="preserve">Criterios subjetivos/ambiguos corregidos</w:t>
            </w:r>
          </w:p>
        </w:tc>
        <w:tc>
          <w:tcPr>
            <w:tcW w:type="dxa" w:w="5760"/>
            <w:tcMar>
              <w:top w:type="dxa" w:w="60"/>
              <w:left w:type="dxa" w:w="100"/>
              <w:bottom w:type="dxa" w:w="60"/>
              <w:right w:type="dxa" w:w="100"/>
            </w:tcMar>
          </w:tcPr>
          <w:p>
            <w:r>
              <w:rPr>
                <w:b w:val="false"/>
                <w:bCs w:val="false"/>
                <w:sz w:val="20"/>
                <w:szCs w:val="20"/>
              </w:rPr>
              <w:t xml:space="preserve">3 (Guías 3, 5 y 6: adjetivos sin métrica, RNF vago, Gherkin cosmético)</w:t>
            </w:r>
          </w:p>
        </w:tc>
      </w:tr>
      <w:tr>
        <w:tc>
          <w:tcPr>
            <w:tcW w:type="dxa" w:w="3600"/>
            <w:tcMar>
              <w:top w:type="dxa" w:w="60"/>
              <w:left w:type="dxa" w:w="100"/>
              <w:bottom w:type="dxa" w:w="60"/>
              <w:right w:type="dxa" w:w="100"/>
            </w:tcMar>
          </w:tcPr>
          <w:p>
            <w:r>
              <w:rPr>
                <w:b w:val="false"/>
                <w:bCs w:val="false"/>
                <w:sz w:val="20"/>
                <w:szCs w:val="20"/>
              </w:rPr>
              <w:t xml:space="preserve">Lección más importante sobre uso de IA</w:t>
            </w:r>
          </w:p>
        </w:tc>
        <w:tc>
          <w:tcPr>
            <w:tcW w:type="dxa" w:w="5760"/>
            <w:tcMar>
              <w:top w:type="dxa" w:w="60"/>
              <w:left w:type="dxa" w:w="100"/>
              <w:bottom w:type="dxa" w:w="60"/>
              <w:right w:type="dxa" w:w="100"/>
            </w:tcMar>
          </w:tcPr>
          <w:p>
            <w:r>
              <w:rPr>
                <w:b w:val="false"/>
                <w:bCs w:val="false"/>
                <w:sz w:val="20"/>
                <w:szCs w:val="20"/>
              </w:rPr>
              <w:t xml:space="preserve">La IA acelera la redacción, pero sistemáticamente tiende al sobrediseño y a pasar por alto restricciones reales de negocio si no se le da contexto explícito y se audita cada respuesta</w:t>
            </w:r>
          </w:p>
        </w:tc>
      </w:tr>
    </w:tbl>
    <w:p>
      <w:pPr>
        <w:spacing w:after="100"/>
      </w:pPr>
    </w:p>
    <w:p>
      <w:pPr>
        <w:pStyle w:val="Heading2"/>
        <w:spacing w:after="120" w:before="250"/>
      </w:pPr>
      <w:r>
        <w:t xml:space="preserve">F. Deuda técnica y pendientes hacia Ingeniería de Software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000"/>
      </w:tblGrid>
      <w:tr>
        <w:tc>
          <w:tcPr>
            <w:tcW w:type="dxa" w:w="3200"/>
            <w:shd w:fill="D9E2F3" w:val="clear"/>
            <w:tcMar>
              <w:top w:type="dxa" w:w="60"/>
              <w:left w:type="dxa" w:w="100"/>
              <w:bottom w:type="dxa" w:w="60"/>
              <w:right w:type="dxa" w:w="100"/>
            </w:tcMar>
          </w:tcPr>
          <w:p>
            <w:r>
              <w:rPr>
                <w:b/>
                <w:bCs/>
                <w:sz w:val="20"/>
                <w:szCs w:val="20"/>
              </w:rPr>
              <w:t xml:space="preserve">Pendiente</w:t>
            </w:r>
          </w:p>
        </w:tc>
        <w:tc>
          <w:tcPr>
            <w:tcW w:type="dxa" w:w="3760"/>
            <w:shd w:fill="D9E2F3" w:val="clear"/>
            <w:tcMar>
              <w:top w:type="dxa" w:w="60"/>
              <w:left w:type="dxa" w:w="100"/>
              <w:bottom w:type="dxa" w:w="60"/>
              <w:right w:type="dxa" w:w="100"/>
            </w:tcMar>
          </w:tcPr>
          <w:p>
            <w:r>
              <w:rPr>
                <w:b/>
                <w:bCs/>
                <w:sz w:val="20"/>
                <w:szCs w:val="20"/>
              </w:rPr>
              <w:t xml:space="preserve">Por qué quedó pendiente</w:t>
            </w:r>
          </w:p>
        </w:tc>
        <w:tc>
          <w:tcPr>
            <w:tcW w:type="dxa" w:w="2000"/>
            <w:shd w:fill="D9E2F3" w:val="clear"/>
            <w:tcMar>
              <w:top w:type="dxa" w:w="60"/>
              <w:left w:type="dxa" w:w="100"/>
              <w:bottom w:type="dxa" w:w="60"/>
              <w:right w:type="dxa" w:w="100"/>
            </w:tcMar>
          </w:tcPr>
          <w:p>
            <w:r>
              <w:rPr>
                <w:b/>
                <w:bCs/>
                <w:sz w:val="20"/>
                <w:szCs w:val="20"/>
              </w:rPr>
              <w:t xml:space="preserve">Prioridad sugerida</w:t>
            </w:r>
          </w:p>
        </w:tc>
      </w:tr>
      <w:tr>
        <w:tc>
          <w:tcPr>
            <w:tcW w:type="dxa" w:w="3200"/>
            <w:tcMar>
              <w:top w:type="dxa" w:w="60"/>
              <w:left w:type="dxa" w:w="100"/>
              <w:bottom w:type="dxa" w:w="60"/>
              <w:right w:type="dxa" w:w="100"/>
            </w:tcMar>
          </w:tcPr>
          <w:p>
            <w:r>
              <w:rPr>
                <w:b w:val="false"/>
                <w:bCs w:val="false"/>
                <w:sz w:val="20"/>
                <w:szCs w:val="20"/>
              </w:rPr>
              <w:t xml:space="preserve">Gráfico de ventas por mes (Should/Could)</w:t>
            </w:r>
          </w:p>
        </w:tc>
        <w:tc>
          <w:tcPr>
            <w:tcW w:type="dxa" w:w="3760"/>
            <w:tcMar>
              <w:top w:type="dxa" w:w="60"/>
              <w:left w:type="dxa" w:w="100"/>
              <w:bottom w:type="dxa" w:w="60"/>
              <w:right w:type="dxa" w:w="100"/>
            </w:tcMar>
          </w:tcPr>
          <w:p>
            <w:r>
              <w:rPr>
                <w:b w:val="false"/>
                <w:bCs w:val="false"/>
                <w:sz w:val="20"/>
                <w:szCs w:val="20"/>
              </w:rPr>
              <w:t xml:space="preserve">Priorizado fuera del MVP en FPI-07</w:t>
            </w:r>
          </w:p>
        </w:tc>
        <w:tc>
          <w:tcPr>
            <w:tcW w:type="dxa" w:w="2000"/>
            <w:tcMar>
              <w:top w:type="dxa" w:w="60"/>
              <w:left w:type="dxa" w:w="100"/>
              <w:bottom w:type="dxa" w:w="60"/>
              <w:right w:type="dxa" w:w="100"/>
            </w:tcMar>
          </w:tcPr>
          <w:p>
            <w:r>
              <w:rPr>
                <w:b w:val="false"/>
                <w:bCs w:val="false"/>
                <w:sz w:val="20"/>
                <w:szCs w:val="20"/>
              </w:rPr>
              <w:t xml:space="preserve">Media — valor real pero no crítico</w:t>
            </w:r>
          </w:p>
        </w:tc>
      </w:tr>
      <w:tr>
        <w:tc>
          <w:tcPr>
            <w:tcW w:type="dxa" w:w="3200"/>
            <w:tcMar>
              <w:top w:type="dxa" w:w="60"/>
              <w:left w:type="dxa" w:w="100"/>
              <w:bottom w:type="dxa" w:w="60"/>
              <w:right w:type="dxa" w:w="100"/>
            </w:tcMar>
          </w:tcPr>
          <w:p>
            <w:r>
              <w:rPr>
                <w:b w:val="false"/>
                <w:bCs w:val="false"/>
                <w:sz w:val="20"/>
                <w:szCs w:val="20"/>
              </w:rPr>
              <w:t xml:space="preserve">Optimización de cálculo del dashboard (deuda de FPI-12)</w:t>
            </w:r>
          </w:p>
        </w:tc>
        <w:tc>
          <w:tcPr>
            <w:tcW w:type="dxa" w:w="3760"/>
            <w:tcMar>
              <w:top w:type="dxa" w:w="60"/>
              <w:left w:type="dxa" w:w="100"/>
              <w:bottom w:type="dxa" w:w="60"/>
              <w:right w:type="dxa" w:w="100"/>
            </w:tcMar>
          </w:tcPr>
          <w:p>
            <w:r>
              <w:rPr>
                <w:b w:val="false"/>
                <w:bCs w:val="false"/>
                <w:sz w:val="20"/>
                <w:szCs w:val="20"/>
              </w:rPr>
              <w:t xml:space="preserve">Se documentó como deuda prudente</w:t>
            </w:r>
          </w:p>
        </w:tc>
        <w:tc>
          <w:tcPr>
            <w:tcW w:type="dxa" w:w="2000"/>
            <w:tcMar>
              <w:top w:type="dxa" w:w="60"/>
              <w:left w:type="dxa" w:w="100"/>
              <w:bottom w:type="dxa" w:w="60"/>
              <w:right w:type="dxa" w:w="100"/>
            </w:tcMar>
          </w:tcPr>
          <w:p>
            <w:r>
              <w:rPr>
                <w:b w:val="false"/>
                <w:bCs w:val="false"/>
                <w:sz w:val="20"/>
                <w:szCs w:val="20"/>
              </w:rPr>
              <w:t xml:space="preserve">Baja — relevante solo si crece el volumen de datos</w:t>
            </w:r>
          </w:p>
        </w:tc>
      </w:tr>
      <w:tr>
        <w:tc>
          <w:tcPr>
            <w:tcW w:type="dxa" w:w="3200"/>
            <w:tcMar>
              <w:top w:type="dxa" w:w="60"/>
              <w:left w:type="dxa" w:w="100"/>
              <w:bottom w:type="dxa" w:w="60"/>
              <w:right w:type="dxa" w:w="100"/>
            </w:tcMar>
          </w:tcPr>
          <w:p>
            <w:r>
              <w:rPr>
                <w:b w:val="false"/>
                <w:bCs w:val="false"/>
                <w:sz w:val="20"/>
                <w:szCs w:val="20"/>
              </w:rPr>
              <w:t xml:space="preserve">Exportar reportes a Excel</w:t>
            </w:r>
          </w:p>
        </w:tc>
        <w:tc>
          <w:tcPr>
            <w:tcW w:type="dxa" w:w="3760"/>
            <w:tcMar>
              <w:top w:type="dxa" w:w="60"/>
              <w:left w:type="dxa" w:w="100"/>
              <w:bottom w:type="dxa" w:w="60"/>
              <w:right w:type="dxa" w:w="100"/>
            </w:tcMar>
          </w:tcPr>
          <w:p>
            <w:r>
              <w:rPr>
                <w:b w:val="false"/>
                <w:bCs w:val="false"/>
                <w:sz w:val="20"/>
                <w:szCs w:val="20"/>
              </w:rPr>
              <w:t xml:space="preserve">Clasificado Won't Have en FPI-07</w:t>
            </w:r>
          </w:p>
        </w:tc>
        <w:tc>
          <w:tcPr>
            <w:tcW w:type="dxa" w:w="2000"/>
            <w:tcMar>
              <w:top w:type="dxa" w:w="60"/>
              <w:left w:type="dxa" w:w="100"/>
              <w:bottom w:type="dxa" w:w="60"/>
              <w:right w:type="dxa" w:w="100"/>
            </w:tcMar>
          </w:tcPr>
          <w:p>
            <w:r>
              <w:rPr>
                <w:b w:val="false"/>
                <w:bCs w:val="false"/>
                <w:sz w:val="20"/>
                <w:szCs w:val="20"/>
              </w:rPr>
              <w:t xml:space="preserve">Baja</w:t>
            </w:r>
          </w:p>
        </w:tc>
      </w:tr>
    </w:tbl>
    <w:p>
      <w:pPr>
        <w:spacing w:after="100"/>
      </w:pPr>
    </w:p>
    <w:p>
      <w:pPr>
        <w:pStyle w:val="Heading2"/>
        <w:spacing w:after="120" w:before="250"/>
      </w:pPr>
      <w:r>
        <w:t xml:space="preserve">G. Lecciones aprendidas del semestre (mínimo 200 palabras)</w:t>
      </w:r>
    </w:p>
    <w:p>
      <w:pPr>
        <w:pBdr>
          <w:left w:val="single" w:color="888888" w:sz="12" w:space="8"/>
        </w:pBdr>
        <w:spacing w:after="150"/>
        <w:ind w:left="400"/>
      </w:pPr>
      <w:r>
        <w:rPr>
          <w:i/>
          <w:iCs/>
        </w:rPr>
        <w:t xml:space="preserve">Como equipo, la lección más importante del semestre fue que la calidad de un proyecto de software no se mide por si el código compila o si el pipeline está en verde, sino por qué tan trazable es cada decisión hacia una necesidad real de un stakeholder identificado desde el primer día. Construir StockCentral guía por guía nos obligó a resistir la tentación, muy presente al trabajar con IA generativa, de aceptar la solución técnicamente más interesante en vez de la más necesaria: varias veces una IA nos propuso arquitecturas más complejas de lo que el MVP de Boutique El Manantial realmente necesitaba, y aprendimos a reconocer ese patrón de sobrediseño antes de implementarlo. También aprendimos, en el plano de proceso de equipo, que una Definition of Done exigente y un Code Review real (no un trámite de aprobación rápida) son lo que realmente protege la calidad, mucho más que el hecho de usar Scrum o Kanban de forma superficial. Finalmente, entendimos que la responsabilidad profesional sobre el uso de IA no es un formalismo de la asignatura: cada vez que auditamos una sugerencia de IA y la corregimos, evitamos introducir al proyecto un riesgo real, ya fuera de seguridad, de sobrediseño o de un requisito mal entendido. Esta disciplina de verificar antes de aceptar es, probablemente, la habilidad más transferible que nos llevamos hacia Ingeniería de Software II.</w:t>
      </w:r>
    </w:p>
    <w:p>
      <w:pPr>
        <w:pStyle w:val="Heading2"/>
        <w:spacing w:after="120" w:before="250"/>
      </w:pPr>
      <w:r>
        <w:t xml:space="preserve">H. Evidencia generada (cierre del semestre)</w:t>
      </w:r>
    </w:p>
    <w:p>
      <w:pPr>
        <w:pStyle w:val="ListParagraph"/>
        <w:numPr>
          <w:ilvl w:val="0"/>
          <w:numId w:val="1"/>
        </w:numPr>
        <w:spacing w:after="80"/>
      </w:pPr>
      <w:r>
        <w:t xml:space="preserve">Video o evidencia de la demostración en vivo del MVP.</w:t>
      </w:r>
    </w:p>
    <w:p>
      <w:pPr>
        <w:pStyle w:val="ListParagraph"/>
        <w:numPr>
          <w:ilvl w:val="0"/>
          <w:numId w:val="1"/>
        </w:numPr>
        <w:spacing w:after="80"/>
      </w:pPr>
      <w:r>
        <w:t xml:space="preserve">Tabla de métricas de retrospectiva cuantitativa (sección D) diligenciada con datos reales.</w:t>
      </w:r>
    </w:p>
    <w:p>
      <w:pPr>
        <w:pStyle w:val="ListParagraph"/>
        <w:numPr>
          <w:ilvl w:val="0"/>
          <w:numId w:val="1"/>
        </w:numPr>
        <w:spacing w:after="80"/>
      </w:pPr>
      <w:r>
        <w:t xml:space="preserve">Bitácora consolidada de auditoría de IA (sección E).</w:t>
      </w:r>
    </w:p>
    <w:p>
      <w:pPr>
        <w:pStyle w:val="ListParagraph"/>
        <w:numPr>
          <w:ilvl w:val="0"/>
          <w:numId w:val="1"/>
        </w:numPr>
        <w:spacing w:after="80"/>
      </w:pPr>
      <w:r>
        <w:t xml:space="preserve">Registro de deuda técnica y pendientes para IS II (sección F).</w:t>
      </w:r>
    </w:p>
    <w:p>
      <w:pPr>
        <w:pStyle w:val="ListParagraph"/>
        <w:numPr>
          <w:ilvl w:val="0"/>
          <w:numId w:val="1"/>
        </w:numPr>
        <w:spacing w:after="80"/>
      </w:pPr>
      <w:r>
        <w:t xml:space="preserve">Lecciones aprendidas redactadas por el equipo (sección G).</w:t>
      </w:r>
    </w:p>
    <w:p>
      <w:pPr>
        <w:pStyle w:val="ListParagraph"/>
        <w:numPr>
          <w:ilvl w:val="0"/>
          <w:numId w:val="1"/>
        </w:numPr>
        <w:spacing w:after="80"/>
      </w:pPr>
      <w:r>
        <w:t xml:space="preserve">Las 15 fichas FPI-01 a FPI-15 completas, disponibles como memoria técnica del proyecto.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2026-10-06T03:38:07.267Z</dcterms:created>
  <dcterms:modified xsi:type="dcterms:W3CDTF">2026-10-06T03:38:07.278Z</dcterms:modified>
</cp:coreProperties>
</file>

<file path=docProps/custom.xml><?xml version="1.0" encoding="utf-8"?>
<Properties xmlns="http://schemas.openxmlformats.org/officeDocument/2006/custom-properties" xmlns:vt="http://schemas.openxmlformats.org/officeDocument/2006/docPropsVTypes"/>
</file>