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00"/>
        <w:jc w:val="center"/>
      </w:pPr>
      <w:r>
        <w:rPr>
          <w:rFonts w:ascii="Arial" w:cs="Arial" w:eastAsia="Arial" w:hAnsi="Arial"/>
          <w:b/>
          <w:bCs/>
          <w:color w:val="1F5C99"/>
          <w:sz w:val="52"/>
          <w:szCs w:val="52"/>
        </w:rPr>
        <w:t xml:space="preserve">MONITORAMENTO INTELIGENTE DE ÁREAS</w:t>
      </w:r>
    </w:p>
    <w:p>
      <w:pPr>
        <w:spacing w:after="100"/>
        <w:jc w:val="center"/>
      </w:pPr>
      <w:r>
        <w:rPr>
          <w:rFonts w:ascii="Arial" w:cs="Arial" w:eastAsia="Arial" w:hAnsi="Arial"/>
          <w:b/>
          <w:bCs/>
          <w:color w:val="1F5C99"/>
          <w:sz w:val="52"/>
          <w:szCs w:val="52"/>
        </w:rPr>
        <w:t xml:space="preserve">DE PRESERVAÇÃO E SUPRESSÃO VEGETAL</w:t>
      </w:r>
    </w:p>
    <w:p>
      <w:pPr>
        <w:spacing w:after="400"/>
        <w:jc w:val="center"/>
      </w:pPr>
      <w:r>
        <w:rPr>
          <w:rFonts w:ascii="Arial" w:cs="Arial" w:eastAsia="Arial" w:hAnsi="Arial"/>
          <w:b w:val="false"/>
          <w:bCs w:val="false"/>
          <w:color w:val="1A1A2E"/>
          <w:sz w:val="36"/>
          <w:szCs w:val="36"/>
        </w:rPr>
        <w:t xml:space="preserve">com Visão Computacional</w:t>
      </w:r>
    </w:p>
    <w:p>
      <w:pPr>
        <w:pBdr>
          <w:bottom w:val="single" w:color="1F5C99" w:sz="12" w:space="1"/>
        </w:pBdr>
        <w:spacing w:after="400"/>
      </w:pPr>
    </w:p>
    <w:p>
      <w:pPr>
        <w:spacing w:after="200"/>
        <w:jc w:val="center"/>
      </w:pPr>
      <w:r>
        <w:rPr>
          <w:rFonts w:ascii="Arial" w:cs="Arial" w:eastAsia="Arial" w:hAnsi="Arial"/>
          <w:color w:val="666666"/>
          <w:sz w:val="28"/>
          <w:szCs w:val="28"/>
        </w:rPr>
        <w:t xml:space="preserve">Documentação Técnica do Projeto</w:t>
      </w:r>
    </w:p>
    <w:p>
      <w:pPr>
        <w:spacing w:after="100"/>
        <w:jc w:val="center"/>
      </w:pPr>
      <w:r>
        <w:rPr>
          <w:rFonts w:ascii="Arial" w:cs="Arial" w:eastAsia="Arial" w:hAnsi="Arial"/>
          <w:color w:val="666666"/>
          <w:sz w:val="26"/>
          <w:szCs w:val="26"/>
        </w:rPr>
        <w:t xml:space="preserve">Global Solution 2026.1 — Visão Computacional</w:t>
      </w:r>
    </w:p>
    <w:p>
      <w:pPr>
        <w:spacing w:after="600"/>
        <w:jc w:val="center"/>
      </w:pPr>
      <w:r>
        <w:rPr>
          <w:rFonts w:ascii="Arial" w:cs="Arial" w:eastAsia="Arial" w:hAnsi="Arial"/>
          <w:b/>
          <w:bCs/>
          <w:color w:val="1A1A2E"/>
          <w:sz w:val="26"/>
          <w:szCs w:val="26"/>
        </w:rPr>
        <w:t xml:space="preserve">FIAP — 2TIAPF</w:t>
      </w:r>
    </w:p>
    <w:p>
      <w:pPr>
        <w:spacing w:after="100"/>
        <w:jc w:val="center"/>
      </w:pPr>
      <w:r>
        <w:rPr>
          <w:rFonts w:ascii="Arial" w:cs="Arial" w:eastAsia="Arial" w:hAnsi="Arial"/>
          <w:color w:val="666666"/>
          <w:sz w:val="22"/>
          <w:szCs w:val="22"/>
        </w:rPr>
        <w:t xml:space="preserve">Tecnologia: Transfer Learning com EfficientNetB0</w:t>
      </w:r>
    </w:p>
    <w:p>
      <w:pPr>
        <w:spacing w:after="100"/>
        <w:jc w:val="center"/>
      </w:pPr>
      <w:r>
        <w:rPr>
          <w:rFonts w:ascii="Arial" w:cs="Arial" w:eastAsia="Arial" w:hAnsi="Arial"/>
          <w:color w:val="666666"/>
          <w:sz w:val="22"/>
          <w:szCs w:val="22"/>
        </w:rPr>
        <w:t xml:space="preserve">Dataset: Wildfire Prediction Dataset (Kaggle)</w:t>
      </w:r>
    </w:p>
    <w:p>
      <w:pPr>
        <w:spacing w:after="100"/>
        <w:jc w:val="center"/>
      </w:pPr>
      <w:r>
        <w:rPr>
          <w:rFonts w:ascii="Arial" w:cs="Arial" w:eastAsia="Arial" w:hAnsi="Arial"/>
          <w:color w:val="666666"/>
          <w:sz w:val="22"/>
          <w:szCs w:val="22"/>
        </w:rPr>
        <w:t xml:space="preserve">2026</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Sumário</w:t>
      </w:r>
    </w:p>
    <w:p>
      <w:pPr>
        <w:tabs>
          <w:tab w:val="right" w:pos="8640"/>
        </w:tabs>
        <w:spacing w:after="100"/>
      </w:pPr>
      <w:r>
        <w:rPr>
          <w:rFonts w:ascii="Arial" w:cs="Arial" w:eastAsia="Arial" w:hAnsi="Arial"/>
          <w:color w:val="1A1A2E"/>
          <w:sz w:val="22"/>
          <w:szCs w:val="22"/>
        </w:rPr>
        <w:t xml:space="preserve">1. Introdução e Contextualização</w:t>
      </w:r>
      <w:r>
        <w:rPr>
          <w:rFonts w:ascii="Arial" w:cs="Arial" w:eastAsia="Arial" w:hAnsi="Arial"/>
          <w:color w:val="1F5C99"/>
          <w:sz w:val="22"/>
          <w:szCs w:val="22"/>
        </w:rPr>
        <w:t xml:space="preserve">	3</w:t>
      </w:r>
    </w:p>
    <w:p>
      <w:pPr>
        <w:tabs>
          <w:tab w:val="right" w:pos="8640"/>
        </w:tabs>
        <w:spacing w:after="100"/>
      </w:pPr>
      <w:r>
        <w:rPr>
          <w:rFonts w:ascii="Arial" w:cs="Arial" w:eastAsia="Arial" w:hAnsi="Arial"/>
          <w:color w:val="1A1A2E"/>
          <w:sz w:val="22"/>
          <w:szCs w:val="22"/>
        </w:rPr>
        <w:t xml:space="preserve">2. Objetivo do Projeto</w:t>
      </w:r>
      <w:r>
        <w:rPr>
          <w:rFonts w:ascii="Arial" w:cs="Arial" w:eastAsia="Arial" w:hAnsi="Arial"/>
          <w:color w:val="1F5C99"/>
          <w:sz w:val="22"/>
          <w:szCs w:val="22"/>
        </w:rPr>
        <w:t xml:space="preserve">	3</w:t>
      </w:r>
    </w:p>
    <w:p>
      <w:pPr>
        <w:tabs>
          <w:tab w:val="right" w:pos="8640"/>
        </w:tabs>
        <w:spacing w:after="100"/>
      </w:pPr>
      <w:r>
        <w:rPr>
          <w:rFonts w:ascii="Arial" w:cs="Arial" w:eastAsia="Arial" w:hAnsi="Arial"/>
          <w:color w:val="1A1A2E"/>
          <w:sz w:val="22"/>
          <w:szCs w:val="22"/>
        </w:rPr>
        <w:t xml:space="preserve">3. Dataset Utilizado</w:t>
      </w:r>
      <w:r>
        <w:rPr>
          <w:rFonts w:ascii="Arial" w:cs="Arial" w:eastAsia="Arial" w:hAnsi="Arial"/>
          <w:color w:val="1F5C99"/>
          <w:sz w:val="22"/>
          <w:szCs w:val="22"/>
        </w:rPr>
        <w:t xml:space="preserve">	4</w:t>
      </w:r>
    </w:p>
    <w:p>
      <w:pPr>
        <w:tabs>
          <w:tab w:val="right" w:pos="8640"/>
        </w:tabs>
        <w:spacing w:after="100"/>
      </w:pPr>
      <w:r>
        <w:rPr>
          <w:rFonts w:ascii="Arial" w:cs="Arial" w:eastAsia="Arial" w:hAnsi="Arial"/>
          <w:color w:val="1A1A2E"/>
          <w:sz w:val="22"/>
          <w:szCs w:val="22"/>
        </w:rPr>
        <w:t xml:space="preserve">4. Arquitetura da Solução</w:t>
      </w:r>
      <w:r>
        <w:rPr>
          <w:rFonts w:ascii="Arial" w:cs="Arial" w:eastAsia="Arial" w:hAnsi="Arial"/>
          <w:color w:val="1F5C99"/>
          <w:sz w:val="22"/>
          <w:szCs w:val="22"/>
        </w:rPr>
        <w:t xml:space="preserve">	4</w:t>
      </w:r>
    </w:p>
    <w:p>
      <w:pPr>
        <w:tabs>
          <w:tab w:val="right" w:pos="8640"/>
        </w:tabs>
        <w:spacing w:after="100"/>
      </w:pPr>
      <w:r>
        <w:rPr>
          <w:rFonts w:ascii="Arial" w:cs="Arial" w:eastAsia="Arial" w:hAnsi="Arial"/>
          <w:color w:val="1A1A2E"/>
          <w:sz w:val="22"/>
          <w:szCs w:val="22"/>
        </w:rPr>
        <w:t xml:space="preserve">5. Pré-processamento e Data Augmentation</w:t>
      </w:r>
      <w:r>
        <w:rPr>
          <w:rFonts w:ascii="Arial" w:cs="Arial" w:eastAsia="Arial" w:hAnsi="Arial"/>
          <w:color w:val="1F5C99"/>
          <w:sz w:val="22"/>
          <w:szCs w:val="22"/>
        </w:rPr>
        <w:t xml:space="preserve">	5</w:t>
      </w:r>
    </w:p>
    <w:p>
      <w:pPr>
        <w:tabs>
          <w:tab w:val="right" w:pos="8640"/>
        </w:tabs>
        <w:spacing w:after="100"/>
      </w:pPr>
      <w:r>
        <w:rPr>
          <w:rFonts w:ascii="Arial" w:cs="Arial" w:eastAsia="Arial" w:hAnsi="Arial"/>
          <w:color w:val="1A1A2E"/>
          <w:sz w:val="22"/>
          <w:szCs w:val="22"/>
        </w:rPr>
        <w:t xml:space="preserve">6. Modelagem com Transfer Learning</w:t>
      </w:r>
      <w:r>
        <w:rPr>
          <w:rFonts w:ascii="Arial" w:cs="Arial" w:eastAsia="Arial" w:hAnsi="Arial"/>
          <w:color w:val="1F5C99"/>
          <w:sz w:val="22"/>
          <w:szCs w:val="22"/>
        </w:rPr>
        <w:t xml:space="preserve">	6</w:t>
      </w:r>
    </w:p>
    <w:p>
      <w:pPr>
        <w:tabs>
          <w:tab w:val="right" w:pos="8640"/>
        </w:tabs>
        <w:spacing w:after="100"/>
      </w:pPr>
      <w:r>
        <w:rPr>
          <w:rFonts w:ascii="Arial" w:cs="Arial" w:eastAsia="Arial" w:hAnsi="Arial"/>
          <w:color w:val="1A1A2E"/>
          <w:sz w:val="22"/>
          <w:szCs w:val="22"/>
        </w:rPr>
        <w:t xml:space="preserve">7. Treinamento e Callbacks</w:t>
      </w:r>
      <w:r>
        <w:rPr>
          <w:rFonts w:ascii="Arial" w:cs="Arial" w:eastAsia="Arial" w:hAnsi="Arial"/>
          <w:color w:val="1F5C99"/>
          <w:sz w:val="22"/>
          <w:szCs w:val="22"/>
        </w:rPr>
        <w:t xml:space="preserve">	7</w:t>
      </w:r>
    </w:p>
    <w:p>
      <w:pPr>
        <w:tabs>
          <w:tab w:val="right" w:pos="8640"/>
        </w:tabs>
        <w:spacing w:after="100"/>
      </w:pPr>
      <w:r>
        <w:rPr>
          <w:rFonts w:ascii="Arial" w:cs="Arial" w:eastAsia="Arial" w:hAnsi="Arial"/>
          <w:color w:val="1A1A2E"/>
          <w:sz w:val="22"/>
          <w:szCs w:val="22"/>
        </w:rPr>
        <w:t xml:space="preserve">8. Avaliação e Métricas</w:t>
      </w:r>
      <w:r>
        <w:rPr>
          <w:rFonts w:ascii="Arial" w:cs="Arial" w:eastAsia="Arial" w:hAnsi="Arial"/>
          <w:color w:val="1F5C99"/>
          <w:sz w:val="22"/>
          <w:szCs w:val="22"/>
        </w:rPr>
        <w:t xml:space="preserve">	7</w:t>
      </w:r>
    </w:p>
    <w:p>
      <w:pPr>
        <w:tabs>
          <w:tab w:val="right" w:pos="8640"/>
        </w:tabs>
        <w:spacing w:after="100"/>
      </w:pPr>
      <w:r>
        <w:rPr>
          <w:rFonts w:ascii="Arial" w:cs="Arial" w:eastAsia="Arial" w:hAnsi="Arial"/>
          <w:color w:val="1A1A2E"/>
          <w:sz w:val="22"/>
          <w:szCs w:val="22"/>
        </w:rPr>
        <w:t xml:space="preserve">9. Módulo de Inferência Individual</w:t>
      </w:r>
      <w:r>
        <w:rPr>
          <w:rFonts w:ascii="Arial" w:cs="Arial" w:eastAsia="Arial" w:hAnsi="Arial"/>
          <w:color w:val="1F5C99"/>
          <w:sz w:val="22"/>
          <w:szCs w:val="22"/>
        </w:rPr>
        <w:t xml:space="preserve">	8</w:t>
      </w:r>
    </w:p>
    <w:p>
      <w:pPr>
        <w:tabs>
          <w:tab w:val="right" w:pos="8640"/>
        </w:tabs>
        <w:spacing w:after="100"/>
      </w:pPr>
      <w:r>
        <w:rPr>
          <w:rFonts w:ascii="Arial" w:cs="Arial" w:eastAsia="Arial" w:hAnsi="Arial"/>
          <w:color w:val="1A1A2E"/>
          <w:sz w:val="22"/>
          <w:szCs w:val="22"/>
        </w:rPr>
        <w:t xml:space="preserve">10. Aplicação Real e Integração Institucional</w:t>
      </w:r>
      <w:r>
        <w:rPr>
          <w:rFonts w:ascii="Arial" w:cs="Arial" w:eastAsia="Arial" w:hAnsi="Arial"/>
          <w:color w:val="1F5C99"/>
          <w:sz w:val="22"/>
          <w:szCs w:val="22"/>
        </w:rPr>
        <w:t xml:space="preserve">	9</w:t>
      </w:r>
    </w:p>
    <w:p>
      <w:pPr>
        <w:tabs>
          <w:tab w:val="right" w:pos="8640"/>
        </w:tabs>
        <w:spacing w:after="100"/>
      </w:pPr>
      <w:r>
        <w:rPr>
          <w:rFonts w:ascii="Arial" w:cs="Arial" w:eastAsia="Arial" w:hAnsi="Arial"/>
          <w:color w:val="1A1A2E"/>
          <w:sz w:val="22"/>
          <w:szCs w:val="22"/>
        </w:rPr>
        <w:t xml:space="preserve">11. Conclusão</w:t>
      </w:r>
      <w:r>
        <w:rPr>
          <w:rFonts w:ascii="Arial" w:cs="Arial" w:eastAsia="Arial" w:hAnsi="Arial"/>
          <w:color w:val="1F5C99"/>
          <w:sz w:val="22"/>
          <w:szCs w:val="22"/>
        </w:rPr>
        <w:t xml:space="preserve">	9</w:t>
      </w:r>
    </w:p>
    <w:p>
      <w:pPr>
        <w:tabs>
          <w:tab w:val="right" w:pos="8640"/>
        </w:tabs>
        <w:spacing w:after="100"/>
      </w:pPr>
      <w:r>
        <w:rPr>
          <w:rFonts w:ascii="Arial" w:cs="Arial" w:eastAsia="Arial" w:hAnsi="Arial"/>
          <w:color w:val="1A1A2E"/>
          <w:sz w:val="22"/>
          <w:szCs w:val="22"/>
        </w:rPr>
        <w:t xml:space="preserve">12. Referências</w:t>
      </w:r>
      <w:r>
        <w:rPr>
          <w:rFonts w:ascii="Arial" w:cs="Arial" w:eastAsia="Arial" w:hAnsi="Arial"/>
          <w:color w:val="1F5C99"/>
          <w:sz w:val="22"/>
          <w:szCs w:val="22"/>
        </w:rPr>
        <w:t xml:space="preserve">	10</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1. Introdução e Contextualização</w:t>
      </w:r>
    </w:p>
    <w:p>
      <w:pPr>
        <w:spacing w:after="120"/>
        <w:jc w:val="both"/>
      </w:pPr>
      <w:r>
        <w:rPr>
          <w:rFonts w:ascii="Arial" w:cs="Arial" w:eastAsia="Arial" w:hAnsi="Arial"/>
          <w:color w:val="1A1A2E"/>
          <w:sz w:val="22"/>
          <w:szCs w:val="22"/>
        </w:rPr>
        <w:t xml:space="preserve">O monitoramento de áreas de vegetação natural é uma atividade essencial para a preservação ambiental, o controle de queimadas, a identificação de regiões de risco e o acompanhamento de áreas sujeitas à supressão vegetal. Em muitos cenários, esse controle é feito a partir de imagens aéreas, imagens de satélite, mapas georreferenciados e dados de sensoriamento remoto, permitindo observar grandes extensões territoriais de forma mais rápida, escalável e precisa.</w:t>
      </w:r>
    </w:p>
    <w:p>
      <w:pPr>
        <w:spacing w:after="120"/>
        <w:jc w:val="both"/>
      </w:pPr>
      <w:r>
        <w:rPr>
          <w:rFonts w:ascii="Arial" w:cs="Arial" w:eastAsia="Arial" w:hAnsi="Arial"/>
          <w:color w:val="1A1A2E"/>
          <w:sz w:val="22"/>
          <w:szCs w:val="22"/>
        </w:rPr>
        <w:t xml:space="preserve">O Brasil, detentor de uma das maiores biodiversidades do planeta, enfrenta sérios desafios relacionados a queimadas e desmatamento — especialmente na Amazônia, no Cerrado e em outras zonas de preservação permanente. A detecção precoce de incêndios florestais e a identificação de áreas de risco são cruciais para subsidiar ações de fiscalização ambiental, defesa civil e políticas públicas de preservação.</w:t>
      </w:r>
    </w:p>
    <w:p>
      <w:pPr>
        <w:spacing w:after="120"/>
        <w:jc w:val="both"/>
      </w:pPr>
      <w:r>
        <w:rPr>
          <w:rFonts w:ascii="Arial" w:cs="Arial" w:eastAsia="Arial" w:hAnsi="Arial"/>
          <w:color w:val="1A1A2E"/>
          <w:sz w:val="22"/>
          <w:szCs w:val="22"/>
        </w:rPr>
        <w:t xml:space="preserve">Nesse contexto, a Visão Computacional emerge como uma tecnologia estratégica, permitindo que modelos de Inteligência Artificial processem automaticamente imagens de satélite em larga escala, identificando padrões visuais associados ao risco de incêndio com precisão e velocidade que não seriam viáveis por revisão humana.</w:t>
      </w:r>
    </w:p>
    <w:p>
      <w:pPr>
        <w:spacing w:after="120"/>
        <w:jc w:val="both"/>
      </w:pPr>
      <w:r>
        <w:rPr>
          <w:rFonts w:ascii="Arial" w:cs="Arial" w:eastAsia="Arial" w:hAnsi="Arial"/>
          <w:color w:val="1A1A2E"/>
          <w:sz w:val="22"/>
          <w:szCs w:val="22"/>
        </w:rPr>
        <w:t xml:space="preserve">Este projeto foi desenvolvido como parte do desafio Global Solution 2026.1 da disciplina de Visão Computacional da FIAP, turma 2TIAPF, com o objetivo de construir uma solução inteligente para apoiar o mapeamento e controle de áreas de preservação de vegetação natural.</w:t>
      </w:r>
    </w:p>
    <w:p>
      <w:pPr>
        <w:spacing w:after="0" w:before="200"/>
      </w:pPr>
      <w:r>
        <w:t xml:space="preserve"/>
      </w:r>
    </w:p>
    <w:p>
      <w:pPr>
        <w:pStyle w:val="Heading1"/>
        <w:pBdr>
          <w:bottom w:val="single" w:color="1F5C99" w:sz="8" w:space="4"/>
        </w:pBdr>
        <w:spacing w:after="200" w:before="400"/>
      </w:pPr>
      <w:r>
        <w:rPr>
          <w:rFonts w:ascii="Arial" w:cs="Arial" w:eastAsia="Arial" w:hAnsi="Arial"/>
          <w:b/>
          <w:bCs/>
          <w:color w:val="1F5C99"/>
          <w:sz w:val="32"/>
          <w:szCs w:val="32"/>
        </w:rPr>
        <w:t xml:space="preserve">2. Objetivo do Projeto</w:t>
      </w:r>
    </w:p>
    <w:p>
      <w:pPr>
        <w:spacing w:after="120"/>
        <w:jc w:val="both"/>
      </w:pPr>
      <w:r>
        <w:rPr>
          <w:rFonts w:ascii="Arial" w:cs="Arial" w:eastAsia="Arial" w:hAnsi="Arial"/>
          <w:color w:val="1A1A2E"/>
          <w:sz w:val="22"/>
          <w:szCs w:val="22"/>
        </w:rPr>
        <w:t xml:space="preserve">O objetivo principal é desenvolver um modelo de classificação de imagens de satélite capaz de identificar se uma determinada região apresenta características associadas à ocorrência ou ao risco de incêndio florestal (classe Wildfire) ou não (classe No Wildfire).</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Objetivos Específicos</w:t>
      </w:r>
    </w:p>
    <w:p>
      <w:pPr>
        <w:pStyle w:val="ListParagraph"/>
        <w:numPr>
          <w:ilvl w:val="0"/>
          <w:numId w:val="2"/>
        </w:numPr>
        <w:spacing w:after="80"/>
      </w:pPr>
      <w:r>
        <w:rPr>
          <w:rFonts w:ascii="Arial" w:cs="Arial" w:eastAsia="Arial" w:hAnsi="Arial"/>
          <w:color w:val="1A1A2E"/>
          <w:sz w:val="22"/>
          <w:szCs w:val="22"/>
        </w:rPr>
        <w:t xml:space="preserve">Compreender o problema ambiental de monitoramento de áreas de preservação e relacioná-lo com o uso de sensoriamento remoto e Visão Computacional</w:t>
      </w:r>
    </w:p>
    <w:p>
      <w:pPr>
        <w:pStyle w:val="ListParagraph"/>
        <w:numPr>
          <w:ilvl w:val="0"/>
          <w:numId w:val="2"/>
        </w:numPr>
        <w:spacing w:after="80"/>
      </w:pPr>
      <w:r>
        <w:rPr>
          <w:rFonts w:ascii="Arial" w:cs="Arial" w:eastAsia="Arial" w:hAnsi="Arial"/>
          <w:color w:val="1A1A2E"/>
          <w:sz w:val="22"/>
          <w:szCs w:val="22"/>
        </w:rPr>
        <w:t xml:space="preserve">Realizar análise exploratória do dataset Wildfire Prediction Dataset (Kaggle)</w:t>
      </w:r>
    </w:p>
    <w:p>
      <w:pPr>
        <w:pStyle w:val="ListParagraph"/>
        <w:numPr>
          <w:ilvl w:val="0"/>
          <w:numId w:val="2"/>
        </w:numPr>
        <w:spacing w:after="80"/>
      </w:pPr>
      <w:r>
        <w:rPr>
          <w:rFonts w:ascii="Arial" w:cs="Arial" w:eastAsia="Arial" w:hAnsi="Arial"/>
          <w:color w:val="1A1A2E"/>
          <w:sz w:val="22"/>
          <w:szCs w:val="22"/>
        </w:rPr>
        <w:t xml:space="preserve">Implementar um pipeline completo de pré-processamento com data augmentation</w:t>
      </w:r>
    </w:p>
    <w:p>
      <w:pPr>
        <w:pStyle w:val="ListParagraph"/>
        <w:numPr>
          <w:ilvl w:val="0"/>
          <w:numId w:val="2"/>
        </w:numPr>
        <w:spacing w:after="80"/>
      </w:pPr>
      <w:r>
        <w:rPr>
          <w:rFonts w:ascii="Arial" w:cs="Arial" w:eastAsia="Arial" w:hAnsi="Arial"/>
          <w:color w:val="1A1A2E"/>
          <w:sz w:val="22"/>
          <w:szCs w:val="22"/>
        </w:rPr>
        <w:t xml:space="preserve">Aplicar Transfer Learning com EfficientNetB0 para classificação binária de imagens de satélite</w:t>
      </w:r>
    </w:p>
    <w:p>
      <w:pPr>
        <w:pStyle w:val="ListParagraph"/>
        <w:numPr>
          <w:ilvl w:val="0"/>
          <w:numId w:val="2"/>
        </w:numPr>
        <w:spacing w:after="80"/>
      </w:pPr>
      <w:r>
        <w:rPr>
          <w:rFonts w:ascii="Arial" w:cs="Arial" w:eastAsia="Arial" w:hAnsi="Arial"/>
          <w:color w:val="1A1A2E"/>
          <w:sz w:val="22"/>
          <w:szCs w:val="22"/>
        </w:rPr>
        <w:t xml:space="preserve">Avaliar o modelo com métricas adequadas: accuracy, precision, recall, F1-score, matriz de confusão e ROC-AUC</w:t>
      </w:r>
    </w:p>
    <w:p>
      <w:pPr>
        <w:pStyle w:val="ListParagraph"/>
        <w:numPr>
          <w:ilvl w:val="0"/>
          <w:numId w:val="2"/>
        </w:numPr>
        <w:spacing w:after="80"/>
      </w:pPr>
      <w:r>
        <w:rPr>
          <w:rFonts w:ascii="Arial" w:cs="Arial" w:eastAsia="Arial" w:hAnsi="Arial"/>
          <w:color w:val="1A1A2E"/>
          <w:sz w:val="22"/>
          <w:szCs w:val="22"/>
        </w:rPr>
        <w:t xml:space="preserve">Propor uma aplicação real integrando o modelo a sistemas de monitoramento ambiental institucional</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3. Dataset Utilizado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Wildfire Prediction Dataset</w:t>
            </w:r>
          </w:p>
          <w:p>
            <w:pPr>
              <w:spacing w:after="60"/>
            </w:pPr>
            <w:r>
              <w:rPr>
                <w:rFonts w:ascii="Arial" w:cs="Arial" w:eastAsia="Arial" w:hAnsi="Arial"/>
                <w:color w:val="1A1A2E"/>
                <w:sz w:val="20"/>
                <w:szCs w:val="20"/>
              </w:rPr>
              <w:t xml:space="preserve">Fonte: Kaggle — abdelghaniaaba/wildfire-prediction-dataset</w:t>
            </w:r>
          </w:p>
          <w:p>
            <w:pPr>
              <w:spacing w:after="60"/>
            </w:pPr>
            <w:r>
              <w:rPr>
                <w:rFonts w:ascii="Arial" w:cs="Arial" w:eastAsia="Arial" w:hAnsi="Arial"/>
                <w:color w:val="1A1A2E"/>
                <w:sz w:val="20"/>
                <w:szCs w:val="20"/>
              </w:rPr>
              <w:t xml:space="preserve">Resolução: 350×350 pixels por imagem (satélite)</w:t>
            </w:r>
          </w:p>
          <w:p>
            <w:pPr>
              <w:spacing w:after="60"/>
            </w:pPr>
            <w:r>
              <w:rPr>
                <w:rFonts w:ascii="Arial" w:cs="Arial" w:eastAsia="Arial" w:hAnsi="Arial"/>
                <w:color w:val="1A1A2E"/>
                <w:sz w:val="20"/>
                <w:szCs w:val="20"/>
              </w:rPr>
              <w:t xml:space="preserve">Total de imagens: ~42.850 (22.710 Wildfire + 20.140 No Wildfire)</w:t>
            </w:r>
          </w:p>
          <w:p>
            <w:pPr>
              <w:spacing w:after="0"/>
            </w:pPr>
            <w:r>
              <w:rPr>
                <w:rFonts w:ascii="Arial" w:cs="Arial" w:eastAsia="Arial" w:hAnsi="Arial"/>
                <w:color w:val="1A1A2E"/>
                <w:sz w:val="20"/>
                <w:szCs w:val="20"/>
              </w:rPr>
              <w:t xml:space="preserve">Divisão: 70% treino / 15% validação / 15% teste</w:t>
            </w:r>
          </w:p>
        </w:tc>
      </w:tr>
    </w:tbl>
    <w:p>
      <w:pPr>
        <w:spacing w:after="0" w:before="200"/>
      </w:pPr>
      <w:r>
        <w:t xml:space="preserve"/>
      </w:r>
    </w:p>
    <w:p>
      <w:pPr>
        <w:pStyle w:val="Heading3"/>
        <w:spacing w:after="100" w:before="200"/>
      </w:pPr>
      <w:r>
        <w:rPr>
          <w:rFonts w:ascii="Arial" w:cs="Arial" w:eastAsia="Arial" w:hAnsi="Arial"/>
          <w:b/>
          <w:bCs/>
          <w:color w:val="666666"/>
          <w:sz w:val="24"/>
          <w:szCs w:val="24"/>
        </w:rPr>
        <w:t xml:space="preserve">Classes e Estrutura</w:t>
      </w:r>
    </w:p>
    <w:p>
      <w:pPr>
        <w:spacing w:after="120"/>
        <w:jc w:val="both"/>
      </w:pPr>
      <w:r>
        <w:rPr>
          <w:rFonts w:ascii="Arial" w:cs="Arial" w:eastAsia="Arial" w:hAnsi="Arial"/>
          <w:color w:val="1A1A2E"/>
          <w:sz w:val="22"/>
          <w:szCs w:val="22"/>
        </w:rPr>
        <w:t xml:space="preserve">O dataset é composto por duas classes para classificação binária:</w:t>
      </w:r>
    </w:p>
    <w:p>
      <w:pPr>
        <w:pStyle w:val="ListParagraph"/>
        <w:numPr>
          <w:ilvl w:val="0"/>
          <w:numId w:val="2"/>
        </w:numPr>
        <w:spacing w:after="80"/>
      </w:pPr>
      <w:r>
        <w:rPr>
          <w:rFonts w:ascii="Arial" w:cs="Arial" w:eastAsia="Arial" w:hAnsi="Arial"/>
          <w:color w:val="1A1A2E"/>
          <w:sz w:val="22"/>
          <w:szCs w:val="22"/>
        </w:rPr>
        <w:t xml:space="preserve">Wildfire: imagens de satélite de áreas com ocorrência confirmada de incêndio florestal. Essas imagens geralmente apresentam padrões visuais como fumaça, solo exposto e tonalidades avermelhadas.</w:t>
      </w:r>
    </w:p>
    <w:p>
      <w:pPr>
        <w:pStyle w:val="ListParagraph"/>
        <w:numPr>
          <w:ilvl w:val="0"/>
          <w:numId w:val="2"/>
        </w:numPr>
        <w:spacing w:after="80"/>
      </w:pPr>
      <w:r>
        <w:rPr>
          <w:rFonts w:ascii="Arial" w:cs="Arial" w:eastAsia="Arial" w:hAnsi="Arial"/>
          <w:color w:val="1A1A2E"/>
          <w:sz w:val="22"/>
          <w:szCs w:val="22"/>
        </w:rPr>
        <w:t xml:space="preserve">No Wildfire: imagens de áreas sem ocorrência de incêndio, predominantemente com cobertura vegetal densa e coloração esverdeada uniforme.</w:t>
      </w:r>
    </w:p>
    <w:p>
      <w:pPr>
        <w:spacing w:after="0" w:before="100"/>
      </w:pPr>
      <w:r>
        <w:t xml:space="preserve"/>
      </w:r>
    </w:p>
    <w:p>
      <w:pPr>
        <w:spacing w:after="120"/>
        <w:jc w:val="both"/>
      </w:pPr>
      <w:r>
        <w:rPr>
          <w:rFonts w:ascii="Arial" w:cs="Arial" w:eastAsia="Arial" w:hAnsi="Arial"/>
          <w:color w:val="1A1A2E"/>
          <w:sz w:val="22"/>
          <w:szCs w:val="22"/>
        </w:rPr>
        <w:t xml:space="preserve">As imagens foram extraídas a partir de coordenadas de latitude e longitude de pontos com ocorrência de incêndio, utilizando imagens de satélite obtidas por API. Os arquivos são organizados nas seguintes pastas:</w:t>
      </w:r>
    </w:p>
    <w:p>
      <w:pPr>
        <w:spacing w:after="0" w:before="100"/>
      </w:pPr>
      <w:r>
        <w:t xml:space="preserve"/>
      </w:r>
    </w:p>
    <w:p>
      <w:pPr>
        <w:shd w:fill="F0F4F8" w:val="clear"/>
        <w:spacing w:after="0"/>
        <w:ind w:left="360"/>
      </w:pPr>
      <w:r>
        <w:rPr>
          <w:rFonts w:ascii="Courier New" w:cs="Courier New" w:eastAsia="Courier New" w:hAnsi="Courier New"/>
          <w:color w:val="2C3E50"/>
          <w:sz w:val="18"/>
          <w:szCs w:val="18"/>
        </w:rPr>
        <w:t xml:space="preserve">dataset/</w:t>
      </w:r>
    </w:p>
    <w:p>
      <w:pPr>
        <w:shd w:fill="F0F4F8" w:val="clear"/>
        <w:spacing w:after="0"/>
        <w:ind w:left="360"/>
      </w:pPr>
      <w:r>
        <w:rPr>
          <w:rFonts w:ascii="Courier New" w:cs="Courier New" w:eastAsia="Courier New" w:hAnsi="Courier New"/>
          <w:color w:val="2C3E50"/>
          <w:sz w:val="18"/>
          <w:szCs w:val="18"/>
        </w:rPr>
        <w:t xml:space="preserve">├── train/</w:t>
      </w:r>
    </w:p>
    <w:p>
      <w:pPr>
        <w:shd w:fill="F0F4F8" w:val="clear"/>
        <w:spacing w:after="0"/>
        <w:ind w:left="360"/>
      </w:pPr>
      <w:r>
        <w:rPr>
          <w:rFonts w:ascii="Courier New" w:cs="Courier New" w:eastAsia="Courier New" w:hAnsi="Courier New"/>
          <w:color w:val="2C3E50"/>
          <w:sz w:val="18"/>
          <w:szCs w:val="18"/>
        </w:rPr>
        <w:t xml:space="preserve">│   ├── wildfire/       # ~15.897 imagens</w:t>
      </w:r>
    </w:p>
    <w:p>
      <w:pPr>
        <w:shd w:fill="F0F4F8" w:val="clear"/>
        <w:spacing w:after="0"/>
        <w:ind w:left="360"/>
      </w:pPr>
      <w:r>
        <w:rPr>
          <w:rFonts w:ascii="Courier New" w:cs="Courier New" w:eastAsia="Courier New" w:hAnsi="Courier New"/>
          <w:color w:val="2C3E50"/>
          <w:sz w:val="18"/>
          <w:szCs w:val="18"/>
        </w:rPr>
        <w:t xml:space="preserve">│   └── nowildfire/     # ~14.098 imagens</w:t>
      </w:r>
    </w:p>
    <w:p>
      <w:pPr>
        <w:shd w:fill="F0F4F8" w:val="clear"/>
        <w:spacing w:after="0"/>
        <w:ind w:left="360"/>
      </w:pPr>
      <w:r>
        <w:rPr>
          <w:rFonts w:ascii="Courier New" w:cs="Courier New" w:eastAsia="Courier New" w:hAnsi="Courier New"/>
          <w:color w:val="2C3E50"/>
          <w:sz w:val="18"/>
          <w:szCs w:val="18"/>
        </w:rPr>
        <w:t xml:space="preserve">├── valid/</w:t>
      </w:r>
    </w:p>
    <w:p>
      <w:pPr>
        <w:shd w:fill="F0F4F8" w:val="clear"/>
        <w:spacing w:after="0"/>
        <w:ind w:left="360"/>
      </w:pPr>
      <w:r>
        <w:rPr>
          <w:rFonts w:ascii="Courier New" w:cs="Courier New" w:eastAsia="Courier New" w:hAnsi="Courier New"/>
          <w:color w:val="2C3E50"/>
          <w:sz w:val="18"/>
          <w:szCs w:val="18"/>
        </w:rPr>
        <w:t xml:space="preserve">│   ├── wildfire/</w:t>
      </w:r>
    </w:p>
    <w:p>
      <w:pPr>
        <w:shd w:fill="F0F4F8" w:val="clear"/>
        <w:spacing w:after="0"/>
        <w:ind w:left="360"/>
      </w:pPr>
      <w:r>
        <w:rPr>
          <w:rFonts w:ascii="Courier New" w:cs="Courier New" w:eastAsia="Courier New" w:hAnsi="Courier New"/>
          <w:color w:val="2C3E50"/>
          <w:sz w:val="18"/>
          <w:szCs w:val="18"/>
        </w:rPr>
        <w:t xml:space="preserve">│   └── nowildfire/</w:t>
      </w:r>
    </w:p>
    <w:p>
      <w:pPr>
        <w:shd w:fill="F0F4F8" w:val="clear"/>
        <w:spacing w:after="0"/>
        <w:ind w:left="360"/>
      </w:pPr>
      <w:r>
        <w:rPr>
          <w:rFonts w:ascii="Courier New" w:cs="Courier New" w:eastAsia="Courier New" w:hAnsi="Courier New"/>
          <w:color w:val="2C3E50"/>
          <w:sz w:val="18"/>
          <w:szCs w:val="18"/>
        </w:rPr>
        <w:t xml:space="preserve">└── test/</w:t>
      </w:r>
    </w:p>
    <w:p>
      <w:pPr>
        <w:shd w:fill="F0F4F8" w:val="clear"/>
        <w:spacing w:after="0"/>
        <w:ind w:left="360"/>
      </w:pPr>
      <w:r>
        <w:rPr>
          <w:rFonts w:ascii="Courier New" w:cs="Courier New" w:eastAsia="Courier New" w:hAnsi="Courier New"/>
          <w:color w:val="2C3E50"/>
          <w:sz w:val="18"/>
          <w:szCs w:val="18"/>
        </w:rPr>
        <w:t xml:space="preserve">    ├── wildfire/</w:t>
      </w:r>
    </w:p>
    <w:p>
      <w:pPr>
        <w:shd w:fill="F0F4F8" w:val="clear"/>
        <w:spacing w:after="0"/>
        <w:ind w:left="360"/>
      </w:pPr>
      <w:r>
        <w:rPr>
          <w:rFonts w:ascii="Courier New" w:cs="Courier New" w:eastAsia="Courier New" w:hAnsi="Courier New"/>
          <w:color w:val="2C3E50"/>
          <w:sz w:val="18"/>
          <w:szCs w:val="18"/>
        </w:rPr>
        <w:t xml:space="preserve">    └── nowildfire/</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4. Arquitetura da Solução</w:t>
      </w:r>
    </w:p>
    <w:p>
      <w:pPr>
        <w:spacing w:after="120"/>
        <w:jc w:val="both"/>
      </w:pPr>
      <w:r>
        <w:rPr>
          <w:rFonts w:ascii="Arial" w:cs="Arial" w:eastAsia="Arial" w:hAnsi="Arial"/>
          <w:color w:val="1A1A2E"/>
          <w:sz w:val="22"/>
          <w:szCs w:val="22"/>
        </w:rPr>
        <w:t xml:space="preserve">A solução foi estruturada como um pipeline modular de 8 etapas, desde a ingestão dos dados até a inferência em imagens individuais. O diagrama abaixo resume as principais fases: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Etapa</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Descrição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Instalação &amp; Importação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kagglehub, TensorFlow, OpenCV, Scikit-learn, Matplotlib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Download do Dataset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Wildfire Prediction Dataset (Kaggle) via kagglehub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Exploração de Dados (EDA)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Estrutura de diretórios, contagem por classe, amostras visuais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Pré-processamento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Redimensionamento 224×224, normalização [0,1], data augmentation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Modelagem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Transfer Learning com EfficientNetB0 (ImageNet)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Treinamento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EarlyStopping, ReduceLROnPlateau, ModelCheckpoint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Avaliação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Accuracy, Precision, Recall, F1-Score, Matriz de Confusão, ROC-AUC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F5C99"/>
                <w:sz w:val="20"/>
                <w:szCs w:val="20"/>
              </w:rPr>
              <w:t xml:space="preserve">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Inferência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Função predict_image para imagens individuais</w:t>
            </w:r>
          </w:p>
        </w:tc>
      </w:tr>
    </w:tbl>
    <w:p>
      <w:pPr>
        <w:spacing w:after="0" w:before="200"/>
      </w:pPr>
      <w:r>
        <w:t xml:space="preserve"/>
      </w:r>
    </w:p>
    <w:p>
      <w:pPr>
        <w:pStyle w:val="Heading3"/>
        <w:spacing w:after="100" w:before="200"/>
      </w:pPr>
      <w:r>
        <w:rPr>
          <w:rFonts w:ascii="Arial" w:cs="Arial" w:eastAsia="Arial" w:hAnsi="Arial"/>
          <w:b/>
          <w:bCs/>
          <w:color w:val="666666"/>
          <w:sz w:val="24"/>
          <w:szCs w:val="24"/>
        </w:rPr>
        <w:t xml:space="preserve">Tecnologias e Bibliotecas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Biblioteca</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Finalidade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99"/>
                <w:sz w:val="20"/>
                <w:szCs w:val="20"/>
              </w:rPr>
              <w:t xml:space="preserve">TensorFlow / Keras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Framework de deep learning para construção, treinamento e avaliação do modelo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5C99"/>
                <w:sz w:val="20"/>
                <w:szCs w:val="20"/>
              </w:rPr>
              <w:t xml:space="preserve">EfficientNetB0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Arquitetura de CNN pré-treinada utilizada como base do Transfer Learning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99"/>
                <w:sz w:val="20"/>
                <w:szCs w:val="20"/>
              </w:rPr>
              <w:t xml:space="preserve">OpenCV (cv2)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Carregamento e pré-processamento de imagens no formato BGR/RGB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5C99"/>
                <w:sz w:val="20"/>
                <w:szCs w:val="20"/>
              </w:rPr>
              <w:t xml:space="preserve">Scikit-learn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Métricas de avaliação: relatório de classificação, matriz de confusão, curva ROC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99"/>
                <w:sz w:val="20"/>
                <w:szCs w:val="20"/>
              </w:rPr>
              <w:t xml:space="preserve">Matplotlib / Seaborn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Visualização de dados, gráficos de treinamento e heatmaps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5C99"/>
                <w:sz w:val="20"/>
                <w:szCs w:val="20"/>
              </w:rPr>
              <w:t xml:space="preserve">kagglehub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Download programático do dataset diretamente da plataforma Kaggle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99"/>
                <w:sz w:val="20"/>
                <w:szCs w:val="20"/>
              </w:rPr>
              <w:t xml:space="preserve">NumPy / Pandas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Manipulação de arrays numéricos e estruturas de dados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5C99"/>
                <w:sz w:val="20"/>
                <w:szCs w:val="20"/>
              </w:rPr>
              <w:t xml:space="preserve">PIL (Pillow)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Suporte a imagens truncadas e carregamento de imagens individuais</w:t>
            </w:r>
          </w:p>
        </w:tc>
      </w:tr>
    </w:tbl>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5. Pré-processamento e Data Augmentation</w:t>
      </w:r>
    </w:p>
    <w:p>
      <w:pPr>
        <w:spacing w:after="120"/>
        <w:jc w:val="both"/>
      </w:pPr>
      <w:r>
        <w:rPr>
          <w:rFonts w:ascii="Arial" w:cs="Arial" w:eastAsia="Arial" w:hAnsi="Arial"/>
          <w:color w:val="1A1A2E"/>
          <w:sz w:val="22"/>
          <w:szCs w:val="22"/>
        </w:rPr>
        <w:t xml:space="preserve">A etapa de pré-processamento é fundamental para garantir que os dados de entrada sejam adequados ao modelo e que a capacidade de generalização seja maximizada. Foram adotadas estratégias distintas para os conjuntos de treino e de validação/teste.</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Configuração de Imagens</w:t>
      </w:r>
    </w:p>
    <w:p>
      <w:pPr>
        <w:pStyle w:val="ListParagraph"/>
        <w:numPr>
          <w:ilvl w:val="0"/>
          <w:numId w:val="2"/>
        </w:numPr>
        <w:spacing w:after="80"/>
      </w:pPr>
      <w:r>
        <w:rPr>
          <w:rFonts w:ascii="Arial" w:cs="Arial" w:eastAsia="Arial" w:hAnsi="Arial"/>
          <w:color w:val="1A1A2E"/>
          <w:sz w:val="22"/>
          <w:szCs w:val="22"/>
        </w:rPr>
        <w:t xml:space="preserve">Tamanho de entrada: 224×224 pixels (requerido pelo EfficientNetB0)</w:t>
      </w:r>
    </w:p>
    <w:p>
      <w:pPr>
        <w:pStyle w:val="ListParagraph"/>
        <w:numPr>
          <w:ilvl w:val="0"/>
          <w:numId w:val="2"/>
        </w:numPr>
        <w:spacing w:after="80"/>
      </w:pPr>
      <w:r>
        <w:rPr>
          <w:rFonts w:ascii="Arial" w:cs="Arial" w:eastAsia="Arial" w:hAnsi="Arial"/>
          <w:color w:val="1A1A2E"/>
          <w:sz w:val="22"/>
          <w:szCs w:val="22"/>
        </w:rPr>
        <w:t xml:space="preserve">Batch size: 32 imagens por lote</w:t>
      </w:r>
    </w:p>
    <w:p>
      <w:pPr>
        <w:pStyle w:val="ListParagraph"/>
        <w:numPr>
          <w:ilvl w:val="0"/>
          <w:numId w:val="2"/>
        </w:numPr>
        <w:spacing w:after="80"/>
      </w:pPr>
      <w:r>
        <w:rPr>
          <w:rFonts w:ascii="Arial" w:cs="Arial" w:eastAsia="Arial" w:hAnsi="Arial"/>
          <w:color w:val="1A1A2E"/>
          <w:sz w:val="22"/>
          <w:szCs w:val="22"/>
        </w:rPr>
        <w:t xml:space="preserve">Normalização: divisão por 255 para escalar pixels ao intervalo [0, 1]</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Data Augmentation (somente treino)</w:t>
      </w:r>
    </w:p>
    <w:p>
      <w:pPr>
        <w:spacing w:after="120"/>
        <w:jc w:val="both"/>
      </w:pPr>
      <w:r>
        <w:rPr>
          <w:rFonts w:ascii="Arial" w:cs="Arial" w:eastAsia="Arial" w:hAnsi="Arial"/>
          <w:color w:val="1A1A2E"/>
          <w:sz w:val="22"/>
          <w:szCs w:val="22"/>
        </w:rPr>
        <w:t xml:space="preserve">Para o conjunto de treino, foram aplicadas técnicas de augmentação com o objetivo de aumentar a diversidade dos exemplos e reduzir o risco de overfitting:</w:t>
      </w:r>
    </w:p>
    <w:p>
      <w:pPr>
        <w:spacing w:after="0" w:before="80"/>
      </w:pPr>
      <w:r>
        <w:t xml:space="preserve"/>
      </w:r>
    </w:p>
    <w:p>
      <w:pPr>
        <w:shd w:fill="F0F4F8" w:val="clear"/>
        <w:spacing w:after="0"/>
        <w:ind w:left="360"/>
      </w:pPr>
      <w:r>
        <w:rPr>
          <w:rFonts w:ascii="Courier New" w:cs="Courier New" w:eastAsia="Courier New" w:hAnsi="Courier New"/>
          <w:color w:val="2C3E50"/>
          <w:sz w:val="18"/>
          <w:szCs w:val="18"/>
        </w:rPr>
        <w:t xml:space="preserve">train_datagen = ImageDataGenerator(</w:t>
      </w:r>
    </w:p>
    <w:p>
      <w:pPr>
        <w:shd w:fill="F0F4F8" w:val="clear"/>
        <w:spacing w:after="0"/>
        <w:ind w:left="360"/>
      </w:pPr>
      <w:r>
        <w:rPr>
          <w:rFonts w:ascii="Courier New" w:cs="Courier New" w:eastAsia="Courier New" w:hAnsi="Courier New"/>
          <w:color w:val="2C3E50"/>
          <w:sz w:val="18"/>
          <w:szCs w:val="18"/>
        </w:rPr>
        <w:t xml:space="preserve">    rescale=1./255,</w:t>
      </w:r>
    </w:p>
    <w:p>
      <w:pPr>
        <w:shd w:fill="F0F4F8" w:val="clear"/>
        <w:spacing w:after="0"/>
        <w:ind w:left="360"/>
      </w:pPr>
      <w:r>
        <w:rPr>
          <w:rFonts w:ascii="Courier New" w:cs="Courier New" w:eastAsia="Courier New" w:hAnsi="Courier New"/>
          <w:color w:val="2C3E50"/>
          <w:sz w:val="18"/>
          <w:szCs w:val="18"/>
        </w:rPr>
        <w:t xml:space="preserve">    rotation_range=20,       # rotação aleatória até 20 graus</w:t>
      </w:r>
    </w:p>
    <w:p>
      <w:pPr>
        <w:shd w:fill="F0F4F8" w:val="clear"/>
        <w:spacing w:after="0"/>
        <w:ind w:left="360"/>
      </w:pPr>
      <w:r>
        <w:rPr>
          <w:rFonts w:ascii="Courier New" w:cs="Courier New" w:eastAsia="Courier New" w:hAnsi="Courier New"/>
          <w:color w:val="2C3E50"/>
          <w:sz w:val="18"/>
          <w:szCs w:val="18"/>
        </w:rPr>
        <w:t xml:space="preserve">    zoom_range=0.2,           # zoom aleatório até 20%</w:t>
      </w:r>
    </w:p>
    <w:p>
      <w:pPr>
        <w:shd w:fill="F0F4F8" w:val="clear"/>
        <w:spacing w:after="0"/>
        <w:ind w:left="360"/>
      </w:pPr>
      <w:r>
        <w:rPr>
          <w:rFonts w:ascii="Courier New" w:cs="Courier New" w:eastAsia="Courier New" w:hAnsi="Courier New"/>
          <w:color w:val="2C3E50"/>
          <w:sz w:val="18"/>
          <w:szCs w:val="18"/>
        </w:rPr>
        <w:t xml:space="preserve">    horizontal_flip=True,     # espelhamento horizontal</w:t>
      </w:r>
    </w:p>
    <w:p>
      <w:pPr>
        <w:shd w:fill="F0F4F8" w:val="clear"/>
        <w:spacing w:after="0"/>
        <w:ind w:left="360"/>
      </w:pPr>
      <w:r>
        <w:rPr>
          <w:rFonts w:ascii="Courier New" w:cs="Courier New" w:eastAsia="Courier New" w:hAnsi="Courier New"/>
          <w:color w:val="2C3E50"/>
          <w:sz w:val="18"/>
          <w:szCs w:val="18"/>
        </w:rPr>
        <w:t xml:space="preserve">    vertical_flip=True,       # espelhamento vertical</w:t>
      </w:r>
    </w:p>
    <w:p>
      <w:pPr>
        <w:shd w:fill="F0F4F8" w:val="clear"/>
        <w:spacing w:after="0"/>
        <w:ind w:left="360"/>
      </w:pPr>
      <w:r>
        <w:rPr>
          <w:rFonts w:ascii="Courier New" w:cs="Courier New" w:eastAsia="Courier New" w:hAnsi="Courier New"/>
          <w:color w:val="2C3E50"/>
          <w:sz w:val="18"/>
          <w:szCs w:val="18"/>
        </w:rPr>
        <w:t xml:space="preserve">    brightness_range=[0.8, 1.2]  # variação de brilho</w:t>
      </w:r>
    </w:p>
    <w:p>
      <w:pPr>
        <w:shd w:fill="F0F4F8" w:val="clear"/>
        <w:spacing w:after="0"/>
        <w:ind w:left="360"/>
      </w:pPr>
      <w:r>
        <w:rPr>
          <w:rFonts w:ascii="Courier New" w:cs="Courier New" w:eastAsia="Courier New" w:hAnsi="Courier New"/>
          <w:color w:val="2C3E50"/>
          <w:sz w:val="18"/>
          <w:szCs w:val="18"/>
        </w:rPr>
        <w:t xml:space="preserve">)</w:t>
      </w:r>
    </w:p>
    <w:p>
      <w:pPr>
        <w:spacing w:after="0" w:before="100"/>
      </w:pPr>
      <w:r>
        <w:t xml:space="preserve"/>
      </w:r>
    </w:p>
    <w:p>
      <w:pPr>
        <w:spacing w:after="120"/>
        <w:jc w:val="both"/>
      </w:pPr>
      <w:r>
        <w:rPr>
          <w:rFonts w:ascii="Arial" w:cs="Arial" w:eastAsia="Arial" w:hAnsi="Arial"/>
          <w:color w:val="1A1A2E"/>
          <w:sz w:val="22"/>
          <w:szCs w:val="22"/>
        </w:rPr>
        <w:t xml:space="preserve">Para validação e teste, apenas a normalização foi aplicada, sem augmentação — garantindo que as métricas de avaliação reflitam o desempenho real do modelo em dados não vistos durante o treinamento:</w:t>
      </w:r>
    </w:p>
    <w:p>
      <w:pPr>
        <w:spacing w:after="0" w:before="80"/>
      </w:pPr>
      <w:r>
        <w:t xml:space="preserve"/>
      </w:r>
    </w:p>
    <w:p>
      <w:pPr>
        <w:shd w:fill="F0F4F8" w:val="clear"/>
        <w:spacing w:after="0"/>
        <w:ind w:left="360"/>
      </w:pPr>
      <w:r>
        <w:rPr>
          <w:rFonts w:ascii="Courier New" w:cs="Courier New" w:eastAsia="Courier New" w:hAnsi="Courier New"/>
          <w:color w:val="2C3E50"/>
          <w:sz w:val="18"/>
          <w:szCs w:val="18"/>
        </w:rPr>
        <w:t xml:space="preserve">val_test_datagen = ImageDataGenerator(</w:t>
      </w:r>
    </w:p>
    <w:p>
      <w:pPr>
        <w:shd w:fill="F0F4F8" w:val="clear"/>
        <w:spacing w:after="0"/>
        <w:ind w:left="360"/>
      </w:pPr>
      <w:r>
        <w:rPr>
          <w:rFonts w:ascii="Courier New" w:cs="Courier New" w:eastAsia="Courier New" w:hAnsi="Courier New"/>
          <w:color w:val="2C3E50"/>
          <w:sz w:val="18"/>
          <w:szCs w:val="18"/>
        </w:rPr>
        <w:t xml:space="preserve">    rescale=1./255</w:t>
      </w:r>
    </w:p>
    <w:p>
      <w:pPr>
        <w:shd w:fill="F0F4F8" w:val="clear"/>
        <w:spacing w:after="0"/>
        <w:ind w:left="360"/>
      </w:pPr>
      <w:r>
        <w:rPr>
          <w:rFonts w:ascii="Courier New" w:cs="Courier New" w:eastAsia="Courier New" w:hAnsi="Courier New"/>
          <w:color w:val="2C3E50"/>
          <w:sz w:val="18"/>
          <w:szCs w:val="18"/>
        </w:rPr>
        <w:t xml:space="preserv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Cuidados para evitar Data Leakage</w:t>
            </w:r>
          </w:p>
          <w:p>
            <w:pPr>
              <w:spacing w:after="0"/>
            </w:pPr>
            <w:r>
              <w:rPr>
                <w:rFonts w:ascii="Arial" w:cs="Arial" w:eastAsia="Arial" w:hAnsi="Arial"/>
                <w:color w:val="1A1A2E"/>
                <w:sz w:val="20"/>
                <w:szCs w:val="20"/>
              </w:rPr>
              <w:t xml:space="preserve">O conjunto de teste foi mantido completamente separado e utilizado apenas para a avaliação final. Nenhuma transformação de augmentação foi aplicada a validação ou teste, garantindo a integridade da avaliação.</w:t>
            </w:r>
          </w:p>
        </w:tc>
      </w:tr>
    </w:tbl>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6. Modelagem com Transfer Learning</w:t>
      </w:r>
    </w:p>
    <w:p>
      <w:pPr>
        <w:spacing w:after="120"/>
        <w:jc w:val="both"/>
      </w:pPr>
      <w:r>
        <w:rPr>
          <w:rFonts w:ascii="Arial" w:cs="Arial" w:eastAsia="Arial" w:hAnsi="Arial"/>
          <w:color w:val="1A1A2E"/>
          <w:sz w:val="22"/>
          <w:szCs w:val="22"/>
        </w:rPr>
        <w:t xml:space="preserve">A estratégia de Transfer Learning foi adotada por aproximar o projeto de práticas reais de Visão Computacional aplicada, permitindo obter alta capacidade de generalização com menor custo computacional. O modelo base escolhido foi o EfficientNetB0.</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Por que EfficientNetB0?</w:t>
      </w:r>
    </w:p>
    <w:p>
      <w:pPr>
        <w:pStyle w:val="ListParagraph"/>
        <w:numPr>
          <w:ilvl w:val="0"/>
          <w:numId w:val="2"/>
        </w:numPr>
        <w:spacing w:after="80"/>
      </w:pPr>
      <w:r>
        <w:rPr>
          <w:rFonts w:ascii="Arial" w:cs="Arial" w:eastAsia="Arial" w:hAnsi="Arial"/>
          <w:color w:val="1A1A2E"/>
          <w:sz w:val="22"/>
          <w:szCs w:val="22"/>
        </w:rPr>
        <w:t xml:space="preserve">Excelente trade-off entre precisão e eficiência computacional</w:t>
      </w:r>
    </w:p>
    <w:p>
      <w:pPr>
        <w:pStyle w:val="ListParagraph"/>
        <w:numPr>
          <w:ilvl w:val="0"/>
          <w:numId w:val="2"/>
        </w:numPr>
        <w:spacing w:after="80"/>
      </w:pPr>
      <w:r>
        <w:rPr>
          <w:rFonts w:ascii="Arial" w:cs="Arial" w:eastAsia="Arial" w:hAnsi="Arial"/>
          <w:color w:val="1A1A2E"/>
          <w:sz w:val="22"/>
          <w:szCs w:val="22"/>
        </w:rPr>
        <w:t xml:space="preserve">Pré-treinado no ImageNet com 1.000 classes — representa rico extrator de features visuais</w:t>
      </w:r>
    </w:p>
    <w:p>
      <w:pPr>
        <w:pStyle w:val="ListParagraph"/>
        <w:numPr>
          <w:ilvl w:val="0"/>
          <w:numId w:val="2"/>
        </w:numPr>
        <w:spacing w:after="80"/>
      </w:pPr>
      <w:r>
        <w:rPr>
          <w:rFonts w:ascii="Arial" w:cs="Arial" w:eastAsia="Arial" w:hAnsi="Arial"/>
          <w:color w:val="1A1A2E"/>
          <w:sz w:val="22"/>
          <w:szCs w:val="22"/>
        </w:rPr>
        <w:t xml:space="preserve">Escalonamento composto (profundidade, largura, resolução) para máxima eficiência</w:t>
      </w:r>
    </w:p>
    <w:p>
      <w:pPr>
        <w:pStyle w:val="ListParagraph"/>
        <w:numPr>
          <w:ilvl w:val="0"/>
          <w:numId w:val="2"/>
        </w:numPr>
        <w:spacing w:after="80"/>
      </w:pPr>
      <w:r>
        <w:rPr>
          <w:rFonts w:ascii="Arial" w:cs="Arial" w:eastAsia="Arial" w:hAnsi="Arial"/>
          <w:color w:val="1A1A2E"/>
          <w:sz w:val="22"/>
          <w:szCs w:val="22"/>
        </w:rPr>
        <w:t xml:space="preserve">Amplamente utilizado em problemas de classificação de imagens de satélite</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Arquitetura da Cabeça de Classificação</w:t>
      </w:r>
    </w:p>
    <w:p>
      <w:pPr>
        <w:spacing w:after="120"/>
        <w:jc w:val="both"/>
      </w:pPr>
      <w:r>
        <w:rPr>
          <w:rFonts w:ascii="Arial" w:cs="Arial" w:eastAsia="Arial" w:hAnsi="Arial"/>
          <w:color w:val="1A1A2E"/>
          <w:sz w:val="22"/>
          <w:szCs w:val="22"/>
        </w:rPr>
        <w:t xml:space="preserve">Sobre o modelo base (EfficientNetB0 com camadas congeladas), foram adicionadas as seguintes camadas customizadas:</w:t>
      </w:r>
    </w:p>
    <w:p>
      <w:pPr>
        <w:spacing w:after="0" w:before="80"/>
      </w:pPr>
      <w:r>
        <w:t xml:space="preserve"/>
      </w:r>
    </w:p>
    <w:p>
      <w:pPr>
        <w:shd w:fill="F0F4F8" w:val="clear"/>
        <w:spacing w:after="0"/>
        <w:ind w:left="360"/>
      </w:pPr>
      <w:r>
        <w:rPr>
          <w:rFonts w:ascii="Courier New" w:cs="Courier New" w:eastAsia="Courier New" w:hAnsi="Courier New"/>
          <w:color w:val="2C3E50"/>
          <w:sz w:val="18"/>
          <w:szCs w:val="18"/>
        </w:rPr>
        <w:t xml:space="preserve"># Modelo Base (frozen)</w:t>
      </w:r>
    </w:p>
    <w:p>
      <w:pPr>
        <w:shd w:fill="F0F4F8" w:val="clear"/>
        <w:spacing w:after="0"/>
        <w:ind w:left="360"/>
      </w:pPr>
      <w:r>
        <w:rPr>
          <w:rFonts w:ascii="Courier New" w:cs="Courier New" w:eastAsia="Courier New" w:hAnsi="Courier New"/>
          <w:color w:val="2C3E50"/>
          <w:sz w:val="18"/>
          <w:szCs w:val="18"/>
        </w:rPr>
        <w:t xml:space="preserve">base_model = EfficientNetB0(weights='imagenet',</w:t>
      </w:r>
    </w:p>
    <w:p>
      <w:pPr>
        <w:shd w:fill="F0F4F8" w:val="clear"/>
        <w:spacing w:after="0"/>
        <w:ind w:left="360"/>
      </w:pPr>
      <w:r>
        <w:rPr>
          <w:rFonts w:ascii="Courier New" w:cs="Courier New" w:eastAsia="Courier New" w:hAnsi="Courier New"/>
          <w:color w:val="2C3E50"/>
          <w:sz w:val="18"/>
          <w:szCs w:val="18"/>
        </w:rPr>
        <w:t xml:space="preserve">                            include_top=False,</w:t>
      </w:r>
    </w:p>
    <w:p>
      <w:pPr>
        <w:shd w:fill="F0F4F8" w:val="clear"/>
        <w:spacing w:after="0"/>
        <w:ind w:left="360"/>
      </w:pPr>
      <w:r>
        <w:rPr>
          <w:rFonts w:ascii="Courier New" w:cs="Courier New" w:eastAsia="Courier New" w:hAnsi="Courier New"/>
          <w:color w:val="2C3E50"/>
          <w:sz w:val="18"/>
          <w:szCs w:val="18"/>
        </w:rPr>
        <w:t xml:space="preserve">                            input_shape=(224, 224, 3))</w:t>
      </w:r>
    </w:p>
    <w:p>
      <w:pPr>
        <w:shd w:fill="F0F4F8" w:val="clear"/>
        <w:spacing w:after="0"/>
        <w:ind w:left="360"/>
      </w:pPr>
      <w:r>
        <w:rPr>
          <w:rFonts w:ascii="Courier New" w:cs="Courier New" w:eastAsia="Courier New" w:hAnsi="Courier New"/>
          <w:color w:val="2C3E50"/>
          <w:sz w:val="18"/>
          <w:szCs w:val="18"/>
        </w:rPr>
        <w:t xml:space="preserve">base_model.trainable = False</w:t>
      </w:r>
    </w:p>
    <w:p>
      <w:pPr>
        <w:shd w:fill="F0F4F8" w:val="clear"/>
        <w:spacing w:after="0"/>
        <w:ind w:left="360"/>
      </w:pPr>
      <w:r>
        <w:rPr>
          <w:rFonts w:ascii="Courier New" w:cs="Courier New" w:eastAsia="Courier New" w:hAnsi="Courier New"/>
          <w:color w:val="2C3E50"/>
          <w:sz w:val="18"/>
          <w:szCs w:val="18"/>
        </w:rPr>
        <w:t xml:space="preserve"/>
      </w:r>
    </w:p>
    <w:p>
      <w:pPr>
        <w:shd w:fill="F0F4F8" w:val="clear"/>
        <w:spacing w:after="0"/>
        <w:ind w:left="360"/>
      </w:pPr>
      <w:r>
        <w:rPr>
          <w:rFonts w:ascii="Courier New" w:cs="Courier New" w:eastAsia="Courier New" w:hAnsi="Courier New"/>
          <w:color w:val="2C3E50"/>
          <w:sz w:val="18"/>
          <w:szCs w:val="18"/>
        </w:rPr>
        <w:t xml:space="preserve"># Cabeça de Classificação</w:t>
      </w:r>
    </w:p>
    <w:p>
      <w:pPr>
        <w:shd w:fill="F0F4F8" w:val="clear"/>
        <w:spacing w:after="0"/>
        <w:ind w:left="360"/>
      </w:pPr>
      <w:r>
        <w:rPr>
          <w:rFonts w:ascii="Courier New" w:cs="Courier New" w:eastAsia="Courier New" w:hAnsi="Courier New"/>
          <w:color w:val="2C3E50"/>
          <w:sz w:val="18"/>
          <w:szCs w:val="18"/>
        </w:rPr>
        <w:t xml:space="preserve">x = GlobalAveragePooling2D()(base_model.output)  # reduz feature map para vetor</w:t>
      </w:r>
    </w:p>
    <w:p>
      <w:pPr>
        <w:shd w:fill="F0F4F8" w:val="clear"/>
        <w:spacing w:after="0"/>
        <w:ind w:left="360"/>
      </w:pPr>
      <w:r>
        <w:rPr>
          <w:rFonts w:ascii="Courier New" w:cs="Courier New" w:eastAsia="Courier New" w:hAnsi="Courier New"/>
          <w:color w:val="2C3E50"/>
          <w:sz w:val="18"/>
          <w:szCs w:val="18"/>
        </w:rPr>
        <w:t xml:space="preserve">x = BatchNormalization()(x)                       # estabiliza ativações</w:t>
      </w:r>
    </w:p>
    <w:p>
      <w:pPr>
        <w:shd w:fill="F0F4F8" w:val="clear"/>
        <w:spacing w:after="0"/>
        <w:ind w:left="360"/>
      </w:pPr>
      <w:r>
        <w:rPr>
          <w:rFonts w:ascii="Courier New" w:cs="Courier New" w:eastAsia="Courier New" w:hAnsi="Courier New"/>
          <w:color w:val="2C3E50"/>
          <w:sz w:val="18"/>
          <w:szCs w:val="18"/>
        </w:rPr>
        <w:t xml:space="preserve">x = Dropout(0.3)(x)                               # regularização</w:t>
      </w:r>
    </w:p>
    <w:p>
      <w:pPr>
        <w:shd w:fill="F0F4F8" w:val="clear"/>
        <w:spacing w:after="0"/>
        <w:ind w:left="360"/>
      </w:pPr>
      <w:r>
        <w:rPr>
          <w:rFonts w:ascii="Courier New" w:cs="Courier New" w:eastAsia="Courier New" w:hAnsi="Courier New"/>
          <w:color w:val="2C3E50"/>
          <w:sz w:val="18"/>
          <w:szCs w:val="18"/>
        </w:rPr>
        <w:t xml:space="preserve">x = Dense(128, activation='relu')(x)              # camada densa</w:t>
      </w:r>
    </w:p>
    <w:p>
      <w:pPr>
        <w:shd w:fill="F0F4F8" w:val="clear"/>
        <w:spacing w:after="0"/>
        <w:ind w:left="360"/>
      </w:pPr>
      <w:r>
        <w:rPr>
          <w:rFonts w:ascii="Courier New" w:cs="Courier New" w:eastAsia="Courier New" w:hAnsi="Courier New"/>
          <w:color w:val="2C3E50"/>
          <w:sz w:val="18"/>
          <w:szCs w:val="18"/>
        </w:rPr>
        <w:t xml:space="preserve">x = Dropout(0.3)(x)                               # regularização adicional</w:t>
      </w:r>
    </w:p>
    <w:p>
      <w:pPr>
        <w:shd w:fill="F0F4F8" w:val="clear"/>
        <w:spacing w:after="0"/>
        <w:ind w:left="360"/>
      </w:pPr>
      <w:r>
        <w:rPr>
          <w:rFonts w:ascii="Courier New" w:cs="Courier New" w:eastAsia="Courier New" w:hAnsi="Courier New"/>
          <w:color w:val="2C3E50"/>
          <w:sz w:val="18"/>
          <w:szCs w:val="18"/>
        </w:rPr>
        <w:t xml:space="preserve">output = Dense(1, activation='sigmoid')(x)        # saída binária [0, 1]</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Compilação do Modelo</w:t>
      </w:r>
    </w:p>
    <w:p>
      <w:pPr>
        <w:shd w:fill="F0F4F8" w:val="clear"/>
        <w:spacing w:after="0"/>
        <w:ind w:left="360"/>
      </w:pPr>
      <w:r>
        <w:rPr>
          <w:rFonts w:ascii="Courier New" w:cs="Courier New" w:eastAsia="Courier New" w:hAnsi="Courier New"/>
          <w:color w:val="2C3E50"/>
          <w:sz w:val="18"/>
          <w:szCs w:val="18"/>
        </w:rPr>
        <w:t xml:space="preserve">model.compile(</w:t>
      </w:r>
    </w:p>
    <w:p>
      <w:pPr>
        <w:shd w:fill="F0F4F8" w:val="clear"/>
        <w:spacing w:after="0"/>
        <w:ind w:left="360"/>
      </w:pPr>
      <w:r>
        <w:rPr>
          <w:rFonts w:ascii="Courier New" w:cs="Courier New" w:eastAsia="Courier New" w:hAnsi="Courier New"/>
          <w:color w:val="2C3E50"/>
          <w:sz w:val="18"/>
          <w:szCs w:val="18"/>
        </w:rPr>
        <w:t xml:space="preserve">    optimizer='adam',              # otimizador adaptativo</w:t>
      </w:r>
    </w:p>
    <w:p>
      <w:pPr>
        <w:shd w:fill="F0F4F8" w:val="clear"/>
        <w:spacing w:after="0"/>
        <w:ind w:left="360"/>
      </w:pPr>
      <w:r>
        <w:rPr>
          <w:rFonts w:ascii="Courier New" w:cs="Courier New" w:eastAsia="Courier New" w:hAnsi="Courier New"/>
          <w:color w:val="2C3E50"/>
          <w:sz w:val="18"/>
          <w:szCs w:val="18"/>
        </w:rPr>
        <w:t xml:space="preserve">    loss='binary_crossentropy',    # adequado para classificação binária</w:t>
      </w:r>
    </w:p>
    <w:p>
      <w:pPr>
        <w:shd w:fill="F0F4F8" w:val="clear"/>
        <w:spacing w:after="0"/>
        <w:ind w:left="360"/>
      </w:pPr>
      <w:r>
        <w:rPr>
          <w:rFonts w:ascii="Courier New" w:cs="Courier New" w:eastAsia="Courier New" w:hAnsi="Courier New"/>
          <w:color w:val="2C3E50"/>
          <w:sz w:val="18"/>
          <w:szCs w:val="18"/>
        </w:rPr>
        <w:t xml:space="preserve">    metrics=['accuracy']</w:t>
      </w:r>
    </w:p>
    <w:p>
      <w:pPr>
        <w:shd w:fill="F0F4F8" w:val="clear"/>
        <w:spacing w:after="0"/>
        <w:ind w:left="360"/>
      </w:pPr>
      <w:r>
        <w:rPr>
          <w:rFonts w:ascii="Courier New" w:cs="Courier New" w:eastAsia="Courier New" w:hAnsi="Courier New"/>
          <w:color w:val="2C3E50"/>
          <w:sz w:val="18"/>
          <w:szCs w:val="18"/>
        </w:rPr>
        <w:t xml:space="preserv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Parâmetros</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Função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EfficientNetB0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Congelado (ImageNet)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Extração de features de alto nível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GlobalAveragePooling2D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Reduz o mapa de features para um vetor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BatchNormalization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Normaliza ativações, estabiliza treinamento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Dropout(0.3)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p=0.3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Regularização — evita overfitting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Dense(128, relu)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128 neurônios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Aprende combinações não-lineares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Dropout(0.3)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p=0.3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Segunda camada de regularização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Dense(1, sigmoid)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neurônio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Saída: probabilidade P(Wildfire)</w:t>
            </w:r>
          </w:p>
        </w:tc>
      </w:tr>
    </w:tbl>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7. Treinamento e Callbacks</w:t>
      </w:r>
    </w:p>
    <w:p>
      <w:pPr>
        <w:spacing w:after="120"/>
        <w:jc w:val="both"/>
      </w:pPr>
      <w:r>
        <w:rPr>
          <w:rFonts w:ascii="Arial" w:cs="Arial" w:eastAsia="Arial" w:hAnsi="Arial"/>
          <w:color w:val="1A1A2E"/>
          <w:sz w:val="22"/>
          <w:szCs w:val="22"/>
        </w:rPr>
        <w:t xml:space="preserve">O treinamento foi configurado com três callbacks para controlar automaticamente o processo, evitando overfitting e otimizando o uso de recursos computacionais.</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Callbacks Configurados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Callback</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Parâmetro</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EarlyStopping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patience=5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Interrompe o treino se val_loss não melhorar em 5 épocas consecutivas; restaura os melhores pesos automaticamente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ReduceLROnPlateau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patience=3, factor=0.2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Reduz a taxa de aprendizado em 80% quando não há melhora em 3 épocas; evita saltos e estabiliza convergência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ModelCheckpoint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save_best_only=True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Salva automaticamente o melhor modelo (best_model.keras) baseado na val_loss</w:t>
            </w:r>
          </w:p>
        </w:tc>
      </w:tr>
    </w:tbl>
    <w:p>
      <w:pPr>
        <w:spacing w:after="0" w:before="200"/>
      </w:pPr>
      <w:r>
        <w:t xml:space="preserve"/>
      </w:r>
    </w:p>
    <w:p>
      <w:pPr>
        <w:pStyle w:val="Heading3"/>
        <w:spacing w:after="100" w:before="200"/>
      </w:pPr>
      <w:r>
        <w:rPr>
          <w:rFonts w:ascii="Arial" w:cs="Arial" w:eastAsia="Arial" w:hAnsi="Arial"/>
          <w:b/>
          <w:bCs/>
          <w:color w:val="666666"/>
          <w:sz w:val="24"/>
          <w:szCs w:val="24"/>
        </w:rPr>
        <w:t xml:space="preserve">Parâmetros do Treinamento</w:t>
      </w:r>
    </w:p>
    <w:p>
      <w:pPr>
        <w:pStyle w:val="ListParagraph"/>
        <w:numPr>
          <w:ilvl w:val="0"/>
          <w:numId w:val="2"/>
        </w:numPr>
        <w:spacing w:after="80"/>
      </w:pPr>
      <w:r>
        <w:rPr>
          <w:rFonts w:ascii="Arial" w:cs="Arial" w:eastAsia="Arial" w:hAnsi="Arial"/>
          <w:color w:val="1A1A2E"/>
          <w:sz w:val="22"/>
          <w:szCs w:val="22"/>
        </w:rPr>
        <w:t xml:space="preserve">Épocas máximas: 10 (interrompido pelo EarlyStopping conforme performance de validação)</w:t>
      </w:r>
    </w:p>
    <w:p>
      <w:pPr>
        <w:pStyle w:val="ListParagraph"/>
        <w:numPr>
          <w:ilvl w:val="0"/>
          <w:numId w:val="2"/>
        </w:numPr>
        <w:spacing w:after="80"/>
      </w:pPr>
      <w:r>
        <w:rPr>
          <w:rFonts w:ascii="Arial" w:cs="Arial" w:eastAsia="Arial" w:hAnsi="Arial"/>
          <w:color w:val="1A1A2E"/>
          <w:sz w:val="22"/>
          <w:szCs w:val="22"/>
        </w:rPr>
        <w:t xml:space="preserve">Otimizador: Adam (taxa de aprendizado adaptativa)</w:t>
      </w:r>
    </w:p>
    <w:p>
      <w:pPr>
        <w:pStyle w:val="ListParagraph"/>
        <w:numPr>
          <w:ilvl w:val="0"/>
          <w:numId w:val="2"/>
        </w:numPr>
        <w:spacing w:after="80"/>
      </w:pPr>
      <w:r>
        <w:rPr>
          <w:rFonts w:ascii="Arial" w:cs="Arial" w:eastAsia="Arial" w:hAnsi="Arial"/>
          <w:color w:val="1A1A2E"/>
          <w:sz w:val="22"/>
          <w:szCs w:val="22"/>
        </w:rPr>
        <w:t xml:space="preserve">Função de perda: binary_crossentropy</w:t>
      </w:r>
    </w:p>
    <w:p>
      <w:pPr>
        <w:pStyle w:val="ListParagraph"/>
        <w:numPr>
          <w:ilvl w:val="0"/>
          <w:numId w:val="2"/>
        </w:numPr>
        <w:spacing w:after="80"/>
      </w:pPr>
      <w:r>
        <w:rPr>
          <w:rFonts w:ascii="Arial" w:cs="Arial" w:eastAsia="Arial" w:hAnsi="Arial"/>
          <w:color w:val="1A1A2E"/>
          <w:sz w:val="22"/>
          <w:szCs w:val="22"/>
        </w:rPr>
        <w:t xml:space="preserve">Monitoramento: val_loss como critério para callbacks</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8. Avaliação e Métricas</w:t>
      </w:r>
    </w:p>
    <w:p>
      <w:pPr>
        <w:spacing w:after="120"/>
        <w:jc w:val="both"/>
      </w:pPr>
      <w:r>
        <w:rPr>
          <w:rFonts w:ascii="Arial" w:cs="Arial" w:eastAsia="Arial" w:hAnsi="Arial"/>
          <w:color w:val="1A1A2E"/>
          <w:sz w:val="22"/>
          <w:szCs w:val="22"/>
        </w:rPr>
        <w:t xml:space="preserve">A avaliação do modelo foi realizada exclusivamente no conjunto de teste, garantindo uma estimativa imparcial do desempenho real. Foram utilizadas métricas abrangentes para classificação binária.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Descrição</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Importância no Contexto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Proporção de predições corretas sobre o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Visão geral do desempenho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Precision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Dos preditos como Wildfire, quantos de fato eram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Evitar alarmes falsos (FP)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Dos Wildfire reais, quantos foram identificados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Crítico: evitar falsos negativos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F1-Score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Média harmônica entre Precision e Recall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Equilíbrio entre os dois erros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Matriz de Confusão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Tabela de acertos e erros por classe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Visualização granular dos erros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ROC-AUC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Área sob a curva ROC (0 a 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Capacidade discriminativa geral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Importância dos Falsos Negativos</w:t>
            </w:r>
          </w:p>
          <w:p>
            <w:pPr>
              <w:spacing w:after="0"/>
            </w:pPr>
            <w:r>
              <w:rPr>
                <w:rFonts w:ascii="Arial" w:cs="Arial" w:eastAsia="Arial" w:hAnsi="Arial"/>
                <w:color w:val="1A1A2E"/>
                <w:sz w:val="20"/>
                <w:szCs w:val="20"/>
              </w:rPr>
              <w:t xml:space="preserve">No contexto de monitoramento de incêndios florestais, os falsos negativos (áreas com risco classificadas como sem risco) são o erro mais grave, pois representam regiões perigosas que passariam despercebidas pelo sistema de alertas. Por isso, o Recall da classe Wildfire recebe atenção especial na análise dos resultados. Um modelo com alto Recall garante que a grande maioria das áreas em risco seja identificada, mesmo que alguns alarmes falsos sejam gerados.</w:t>
            </w:r>
          </w:p>
        </w:tc>
      </w:tr>
    </w:tbl>
    <w:p>
      <w:pPr>
        <w:spacing w:after="0" w:before="200"/>
      </w:pPr>
      <w:r>
        <w:t xml:space="preserve"/>
      </w:r>
    </w:p>
    <w:p>
      <w:pPr>
        <w:pStyle w:val="Heading3"/>
        <w:spacing w:after="100" w:before="200"/>
      </w:pPr>
      <w:r>
        <w:rPr>
          <w:rFonts w:ascii="Arial" w:cs="Arial" w:eastAsia="Arial" w:hAnsi="Arial"/>
          <w:b/>
          <w:bCs/>
          <w:color w:val="666666"/>
          <w:sz w:val="24"/>
          <w:szCs w:val="24"/>
        </w:rPr>
        <w:t xml:space="preserve">Visualizações Geradas</w:t>
      </w:r>
    </w:p>
    <w:p>
      <w:pPr>
        <w:pStyle w:val="ListParagraph"/>
        <w:numPr>
          <w:ilvl w:val="0"/>
          <w:numId w:val="2"/>
        </w:numPr>
        <w:spacing w:after="80"/>
      </w:pPr>
      <w:r>
        <w:rPr>
          <w:rFonts w:ascii="Arial" w:cs="Arial" w:eastAsia="Arial" w:hAnsi="Arial"/>
          <w:color w:val="1A1A2E"/>
          <w:sz w:val="22"/>
          <w:szCs w:val="22"/>
        </w:rPr>
        <w:t xml:space="preserve">Gráfico de Accuracy: evolução da acurácia de treino e validação por época</w:t>
      </w:r>
    </w:p>
    <w:p>
      <w:pPr>
        <w:pStyle w:val="ListParagraph"/>
        <w:numPr>
          <w:ilvl w:val="0"/>
          <w:numId w:val="2"/>
        </w:numPr>
        <w:spacing w:after="80"/>
      </w:pPr>
      <w:r>
        <w:rPr>
          <w:rFonts w:ascii="Arial" w:cs="Arial" w:eastAsia="Arial" w:hAnsi="Arial"/>
          <w:color w:val="1A1A2E"/>
          <w:sz w:val="22"/>
          <w:szCs w:val="22"/>
        </w:rPr>
        <w:t xml:space="preserve">Gráfico de Loss: evolução da função de perda (binary_crossentropy) por época</w:t>
      </w:r>
    </w:p>
    <w:p>
      <w:pPr>
        <w:pStyle w:val="ListParagraph"/>
        <w:numPr>
          <w:ilvl w:val="0"/>
          <w:numId w:val="2"/>
        </w:numPr>
        <w:spacing w:after="80"/>
      </w:pPr>
      <w:r>
        <w:rPr>
          <w:rFonts w:ascii="Arial" w:cs="Arial" w:eastAsia="Arial" w:hAnsi="Arial"/>
          <w:color w:val="1A1A2E"/>
          <w:sz w:val="22"/>
          <w:szCs w:val="22"/>
        </w:rPr>
        <w:t xml:space="preserve">Matriz de Confusão: heatmap com Seaborn mostrando TP, TN, FP e FN</w:t>
      </w:r>
    </w:p>
    <w:p>
      <w:pPr>
        <w:pStyle w:val="ListParagraph"/>
        <w:numPr>
          <w:ilvl w:val="0"/>
          <w:numId w:val="2"/>
        </w:numPr>
        <w:spacing w:after="80"/>
      </w:pPr>
      <w:r>
        <w:rPr>
          <w:rFonts w:ascii="Arial" w:cs="Arial" w:eastAsia="Arial" w:hAnsi="Arial"/>
          <w:color w:val="1A1A2E"/>
          <w:sz w:val="22"/>
          <w:szCs w:val="22"/>
        </w:rPr>
        <w:t xml:space="preserve">Curva ROC: comparação entre TPR (True Positive Rate) e FPR (False Positive Rate) com valor de AUC</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9. Módulo de Inferência Individual</w:t>
      </w:r>
    </w:p>
    <w:p>
      <w:pPr>
        <w:spacing w:after="120"/>
        <w:jc w:val="both"/>
      </w:pPr>
      <w:r>
        <w:rPr>
          <w:rFonts w:ascii="Arial" w:cs="Arial" w:eastAsia="Arial" w:hAnsi="Arial"/>
          <w:color w:val="1A1A2E"/>
          <w:sz w:val="22"/>
          <w:szCs w:val="22"/>
        </w:rPr>
        <w:t xml:space="preserve">Para permitir a aplicação do modelo em imagens novas, foi desenvolvida a função predict_image, que realiza todo o pipeline de pré-processamento e classificação de uma única imagem de satélite.</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Função predict_image</w:t>
      </w:r>
    </w:p>
    <w:p>
      <w:pPr>
        <w:shd w:fill="F0F4F8" w:val="clear"/>
        <w:spacing w:after="0"/>
        <w:ind w:left="360"/>
      </w:pPr>
      <w:r>
        <w:rPr>
          <w:rFonts w:ascii="Courier New" w:cs="Courier New" w:eastAsia="Courier New" w:hAnsi="Courier New"/>
          <w:color w:val="2C3E50"/>
          <w:sz w:val="18"/>
          <w:szCs w:val="18"/>
        </w:rPr>
        <w:t xml:space="preserve">def predict_image(img_path):</w:t>
      </w:r>
    </w:p>
    <w:p>
      <w:pPr>
        <w:shd w:fill="F0F4F8" w:val="clear"/>
        <w:spacing w:after="0"/>
        <w:ind w:left="360"/>
      </w:pPr>
      <w:r>
        <w:rPr>
          <w:rFonts w:ascii="Courier New" w:cs="Courier New" w:eastAsia="Courier New" w:hAnsi="Courier New"/>
          <w:color w:val="2C3E50"/>
          <w:sz w:val="18"/>
          <w:szCs w:val="18"/>
        </w:rPr>
        <w:t xml:space="preserve">    # 1. Carrega e redimensiona para 224x224</w:t>
      </w:r>
    </w:p>
    <w:p>
      <w:pPr>
        <w:shd w:fill="F0F4F8" w:val="clear"/>
        <w:spacing w:after="0"/>
        <w:ind w:left="360"/>
      </w:pPr>
      <w:r>
        <w:rPr>
          <w:rFonts w:ascii="Courier New" w:cs="Courier New" w:eastAsia="Courier New" w:hAnsi="Courier New"/>
          <w:color w:val="2C3E50"/>
          <w:sz w:val="18"/>
          <w:szCs w:val="18"/>
        </w:rPr>
        <w:t xml:space="preserve">    img = image.load_img(img_path, target_size=(224, 224))</w:t>
      </w:r>
    </w:p>
    <w:p>
      <w:pPr>
        <w:shd w:fill="F0F4F8" w:val="clear"/>
        <w:spacing w:after="0"/>
        <w:ind w:left="360"/>
      </w:pPr>
      <w:r>
        <w:rPr>
          <w:rFonts w:ascii="Courier New" w:cs="Courier New" w:eastAsia="Courier New" w:hAnsi="Courier New"/>
          <w:color w:val="2C3E50"/>
          <w:sz w:val="18"/>
          <w:szCs w:val="18"/>
        </w:rPr>
        <w:t xml:space="preserve"/>
      </w:r>
    </w:p>
    <w:p>
      <w:pPr>
        <w:shd w:fill="F0F4F8" w:val="clear"/>
        <w:spacing w:after="0"/>
        <w:ind w:left="360"/>
      </w:pPr>
      <w:r>
        <w:rPr>
          <w:rFonts w:ascii="Courier New" w:cs="Courier New" w:eastAsia="Courier New" w:hAnsi="Courier New"/>
          <w:color w:val="2C3E50"/>
          <w:sz w:val="18"/>
          <w:szCs w:val="18"/>
        </w:rPr>
        <w:t xml:space="preserve">    # 2. Converte para array e normaliza pixels</w:t>
      </w:r>
    </w:p>
    <w:p>
      <w:pPr>
        <w:shd w:fill="F0F4F8" w:val="clear"/>
        <w:spacing w:after="0"/>
        <w:ind w:left="360"/>
      </w:pPr>
      <w:r>
        <w:rPr>
          <w:rFonts w:ascii="Courier New" w:cs="Courier New" w:eastAsia="Courier New" w:hAnsi="Courier New"/>
          <w:color w:val="2C3E50"/>
          <w:sz w:val="18"/>
          <w:szCs w:val="18"/>
        </w:rPr>
        <w:t xml:space="preserve">    img_array = image.img_to_array(img) / 255.0</w:t>
      </w:r>
    </w:p>
    <w:p>
      <w:pPr>
        <w:shd w:fill="F0F4F8" w:val="clear"/>
        <w:spacing w:after="0"/>
        <w:ind w:left="360"/>
      </w:pPr>
      <w:r>
        <w:rPr>
          <w:rFonts w:ascii="Courier New" w:cs="Courier New" w:eastAsia="Courier New" w:hAnsi="Courier New"/>
          <w:color w:val="2C3E50"/>
          <w:sz w:val="18"/>
          <w:szCs w:val="18"/>
        </w:rPr>
        <w:t xml:space="preserve"/>
      </w:r>
    </w:p>
    <w:p>
      <w:pPr>
        <w:shd w:fill="F0F4F8" w:val="clear"/>
        <w:spacing w:after="0"/>
        <w:ind w:left="360"/>
      </w:pPr>
      <w:r>
        <w:rPr>
          <w:rFonts w:ascii="Courier New" w:cs="Courier New" w:eastAsia="Courier New" w:hAnsi="Courier New"/>
          <w:color w:val="2C3E50"/>
          <w:sz w:val="18"/>
          <w:szCs w:val="18"/>
        </w:rPr>
        <w:t xml:space="preserve">    # 3. Adiciona dimensão de batch [1, 224, 224, 3]</w:t>
      </w:r>
    </w:p>
    <w:p>
      <w:pPr>
        <w:shd w:fill="F0F4F8" w:val="clear"/>
        <w:spacing w:after="0"/>
        <w:ind w:left="360"/>
      </w:pPr>
      <w:r>
        <w:rPr>
          <w:rFonts w:ascii="Courier New" w:cs="Courier New" w:eastAsia="Courier New" w:hAnsi="Courier New"/>
          <w:color w:val="2C3E50"/>
          <w:sz w:val="18"/>
          <w:szCs w:val="18"/>
        </w:rPr>
        <w:t xml:space="preserve">    img_array = np.expand_dims(img_array, axis=0)</w:t>
      </w:r>
    </w:p>
    <w:p>
      <w:pPr>
        <w:shd w:fill="F0F4F8" w:val="clear"/>
        <w:spacing w:after="0"/>
        <w:ind w:left="360"/>
      </w:pPr>
      <w:r>
        <w:rPr>
          <w:rFonts w:ascii="Courier New" w:cs="Courier New" w:eastAsia="Courier New" w:hAnsi="Courier New"/>
          <w:color w:val="2C3E50"/>
          <w:sz w:val="18"/>
          <w:szCs w:val="18"/>
        </w:rPr>
        <w:t xml:space="preserve"/>
      </w:r>
    </w:p>
    <w:p>
      <w:pPr>
        <w:shd w:fill="F0F4F8" w:val="clear"/>
        <w:spacing w:after="0"/>
        <w:ind w:left="360"/>
      </w:pPr>
      <w:r>
        <w:rPr>
          <w:rFonts w:ascii="Courier New" w:cs="Courier New" w:eastAsia="Courier New" w:hAnsi="Courier New"/>
          <w:color w:val="2C3E50"/>
          <w:sz w:val="18"/>
          <w:szCs w:val="18"/>
        </w:rPr>
        <w:t xml:space="preserve">    # 4. Predição: retorna P(Wildfire) entre 0 e 1</w:t>
      </w:r>
    </w:p>
    <w:p>
      <w:pPr>
        <w:shd w:fill="F0F4F8" w:val="clear"/>
        <w:spacing w:after="0"/>
        <w:ind w:left="360"/>
      </w:pPr>
      <w:r>
        <w:rPr>
          <w:rFonts w:ascii="Courier New" w:cs="Courier New" w:eastAsia="Courier New" w:hAnsi="Courier New"/>
          <w:color w:val="2C3E50"/>
          <w:sz w:val="18"/>
          <w:szCs w:val="18"/>
        </w:rPr>
        <w:t xml:space="preserve">    prediction = model.predict(img_array)[0][0]</w:t>
      </w:r>
    </w:p>
    <w:p>
      <w:pPr>
        <w:shd w:fill="F0F4F8" w:val="clear"/>
        <w:spacing w:after="0"/>
        <w:ind w:left="360"/>
      </w:pPr>
      <w:r>
        <w:rPr>
          <w:rFonts w:ascii="Courier New" w:cs="Courier New" w:eastAsia="Courier New" w:hAnsi="Courier New"/>
          <w:color w:val="2C3E50"/>
          <w:sz w:val="18"/>
          <w:szCs w:val="18"/>
        </w:rPr>
        <w:t xml:space="preserve"/>
      </w:r>
    </w:p>
    <w:p>
      <w:pPr>
        <w:shd w:fill="F0F4F8" w:val="clear"/>
        <w:spacing w:after="0"/>
        <w:ind w:left="360"/>
      </w:pPr>
      <w:r>
        <w:rPr>
          <w:rFonts w:ascii="Courier New" w:cs="Courier New" w:eastAsia="Courier New" w:hAnsi="Courier New"/>
          <w:color w:val="2C3E50"/>
          <w:sz w:val="18"/>
          <w:szCs w:val="18"/>
        </w:rPr>
        <w:t xml:space="preserve">    # 5. Exibe imagem com resultado e confiança</w:t>
      </w:r>
    </w:p>
    <w:p>
      <w:pPr>
        <w:shd w:fill="F0F4F8" w:val="clear"/>
        <w:spacing w:after="0"/>
        <w:ind w:left="360"/>
      </w:pPr>
      <w:r>
        <w:rPr>
          <w:rFonts w:ascii="Courier New" w:cs="Courier New" w:eastAsia="Courier New" w:hAnsi="Courier New"/>
          <w:color w:val="2C3E50"/>
          <w:sz w:val="18"/>
          <w:szCs w:val="18"/>
        </w:rPr>
        <w:t xml:space="preserve">    if prediction &gt; 0.5:</w:t>
      </w:r>
    </w:p>
    <w:p>
      <w:pPr>
        <w:shd w:fill="F0F4F8" w:val="clear"/>
        <w:spacing w:after="0"/>
        <w:ind w:left="360"/>
      </w:pPr>
      <w:r>
        <w:rPr>
          <w:rFonts w:ascii="Courier New" w:cs="Courier New" w:eastAsia="Courier New" w:hAnsi="Courier New"/>
          <w:color w:val="2C3E50"/>
          <w:sz w:val="18"/>
          <w:szCs w:val="18"/>
        </w:rPr>
        <w:t xml:space="preserve">        plt.title(f'Wildfire ({prediction:.2%})')</w:t>
      </w:r>
    </w:p>
    <w:p>
      <w:pPr>
        <w:shd w:fill="F0F4F8" w:val="clear"/>
        <w:spacing w:after="0"/>
        <w:ind w:left="360"/>
      </w:pPr>
      <w:r>
        <w:rPr>
          <w:rFonts w:ascii="Courier New" w:cs="Courier New" w:eastAsia="Courier New" w:hAnsi="Courier New"/>
          <w:color w:val="2C3E50"/>
          <w:sz w:val="18"/>
          <w:szCs w:val="18"/>
        </w:rPr>
        <w:t xml:space="preserve">    else:</w:t>
      </w:r>
    </w:p>
    <w:p>
      <w:pPr>
        <w:shd w:fill="F0F4F8" w:val="clear"/>
        <w:spacing w:after="0"/>
        <w:ind w:left="360"/>
      </w:pPr>
      <w:r>
        <w:rPr>
          <w:rFonts w:ascii="Courier New" w:cs="Courier New" w:eastAsia="Courier New" w:hAnsi="Courier New"/>
          <w:color w:val="2C3E50"/>
          <w:sz w:val="18"/>
          <w:szCs w:val="18"/>
        </w:rPr>
        <w:t xml:space="preserve">        plt.title(f'No Wildfire ({1 - prediction:.2%})')</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Exemplos de Uso</w:t>
      </w:r>
    </w:p>
    <w:p>
      <w:pPr>
        <w:spacing w:after="120"/>
        <w:jc w:val="both"/>
      </w:pPr>
      <w:r>
        <w:rPr>
          <w:rFonts w:ascii="Arial" w:cs="Arial" w:eastAsia="Arial" w:hAnsi="Arial"/>
          <w:color w:val="1A1A2E"/>
          <w:sz w:val="22"/>
          <w:szCs w:val="22"/>
        </w:rPr>
        <w:t xml:space="preserve">O módulo foi testado com duas imagens de satélite reais, identificadas pelas coordenadas geográficas de sua captura:</w:t>
      </w:r>
    </w:p>
    <w:p>
      <w:pPr>
        <w:pStyle w:val="ListParagraph"/>
        <w:numPr>
          <w:ilvl w:val="0"/>
          <w:numId w:val="2"/>
        </w:numPr>
        <w:spacing w:after="80"/>
      </w:pPr>
      <w:r>
        <w:rPr>
          <w:rFonts w:ascii="Arial" w:cs="Arial" w:eastAsia="Arial" w:hAnsi="Arial"/>
          <w:color w:val="1A1A2E"/>
          <w:sz w:val="22"/>
          <w:szCs w:val="22"/>
        </w:rPr>
        <w:t xml:space="preserve">Coordenadas -73.535, 45.480806 — região norte do Canadá</w:t>
      </w:r>
    </w:p>
    <w:p>
      <w:pPr>
        <w:pStyle w:val="ListParagraph"/>
        <w:numPr>
          <w:ilvl w:val="0"/>
          <w:numId w:val="2"/>
        </w:numPr>
        <w:spacing w:after="80"/>
      </w:pPr>
      <w:r>
        <w:rPr>
          <w:rFonts w:ascii="Arial" w:cs="Arial" w:eastAsia="Arial" w:hAnsi="Arial"/>
          <w:color w:val="1A1A2E"/>
          <w:sz w:val="22"/>
          <w:szCs w:val="22"/>
        </w:rPr>
        <w:t xml:space="preserve">Coordenadas -62.3956, 50.2942 — região da Costa do Labrador</w:t>
      </w:r>
    </w:p>
    <w:p>
      <w:pPr>
        <w:spacing w:after="0" w:before="100"/>
      </w:pPr>
      <w:r>
        <w:t xml:space="preserve"/>
      </w:r>
    </w:p>
    <w:p>
      <w:pPr>
        <w:spacing w:after="120"/>
        <w:jc w:val="both"/>
      </w:pPr>
      <w:r>
        <w:rPr>
          <w:rFonts w:ascii="Arial" w:cs="Arial" w:eastAsia="Arial" w:hAnsi="Arial"/>
          <w:color w:val="1A1A2E"/>
          <w:sz w:val="22"/>
          <w:szCs w:val="22"/>
        </w:rPr>
        <w:t xml:space="preserve">O resultado exibido inclui a classe predita e a porcentagem de confiança do modelo, permitindo ao analista avaliar não apenas a classificação, mas também o grau de certeza da predição.</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10. Aplicação Real e Integração Institucional</w:t>
      </w:r>
    </w:p>
    <w:p>
      <w:pPr>
        <w:spacing w:after="120"/>
        <w:jc w:val="both"/>
      </w:pPr>
      <w:r>
        <w:rPr>
          <w:rFonts w:ascii="Arial" w:cs="Arial" w:eastAsia="Arial" w:hAnsi="Arial"/>
          <w:color w:val="1A1A2E"/>
          <w:sz w:val="22"/>
          <w:szCs w:val="22"/>
        </w:rPr>
        <w:t xml:space="preserve">O modelo desenvolvido possui potencial real de integração em sistemas de monitoramento ambiental institucionais. A proposta de aplicação contempla a automatização do processo de análise de imagens de satélite, com alertas em tempo real para órgãos competentes.</w:t>
      </w:r>
    </w:p>
    <w:p>
      <w:pPr>
        <w:spacing w:after="0" w:before="100"/>
      </w:pPr>
      <w:r>
        <w:t xml:space="preserve"/>
      </w:r>
    </w:p>
    <w:p>
      <w:pPr>
        <w:pStyle w:val="Heading3"/>
        <w:spacing w:after="100" w:before="200"/>
      </w:pPr>
      <w:r>
        <w:rPr>
          <w:rFonts w:ascii="Arial" w:cs="Arial" w:eastAsia="Arial" w:hAnsi="Arial"/>
          <w:b/>
          <w:bCs/>
          <w:color w:val="666666"/>
          <w:sz w:val="24"/>
          <w:szCs w:val="24"/>
        </w:rPr>
        <w:t xml:space="preserve">Órgãos e Sistemas de Integração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Órgão/Sistema</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Aplicação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99"/>
                <w:sz w:val="20"/>
                <w:szCs w:val="20"/>
              </w:rPr>
              <w:t xml:space="preserve">IBAMA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Monitoramento contínuo de áreas de preservação permanente; geração de evidências para auto de infração em casos de queimada ilegal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5C99"/>
                <w:sz w:val="20"/>
                <w:szCs w:val="20"/>
              </w:rPr>
              <w:t xml:space="preserve">Defesa Civil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Alertas automáticos em tempo real para mobilização de brigadas de combate a incêndios florestais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99"/>
                <w:sz w:val="20"/>
                <w:szCs w:val="20"/>
              </w:rPr>
              <w:t xml:space="preserve">INPE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Integração com sistema DETER e PRODES para complementar dados de desmatamento com identificação de risco de incêndio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5C99"/>
                <w:sz w:val="20"/>
                <w:szCs w:val="20"/>
              </w:rPr>
              <w:t xml:space="preserve">Secretarias Ambientais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Apoio à fiscalização estadual e municipal de áreas de preservação, com mapas de risco atualizados periodicamente</w:t>
            </w:r>
          </w:p>
        </w:tc>
      </w:tr>
    </w:tbl>
    <w:p>
      <w:pPr>
        <w:spacing w:after="0" w:before="200"/>
      </w:pPr>
      <w:r>
        <w:t xml:space="preserve"/>
      </w:r>
    </w:p>
    <w:p>
      <w:pPr>
        <w:pStyle w:val="Heading3"/>
        <w:spacing w:after="100" w:before="200"/>
      </w:pPr>
      <w:r>
        <w:rPr>
          <w:rFonts w:ascii="Arial" w:cs="Arial" w:eastAsia="Arial" w:hAnsi="Arial"/>
          <w:b/>
          <w:bCs/>
          <w:color w:val="666666"/>
          <w:sz w:val="24"/>
          <w:szCs w:val="24"/>
        </w:rPr>
        <w:t xml:space="preserve">Funcionalidades da Solução Real</w:t>
      </w:r>
    </w:p>
    <w:p>
      <w:pPr>
        <w:pStyle w:val="ListParagraph"/>
        <w:numPr>
          <w:ilvl w:val="0"/>
          <w:numId w:val="2"/>
        </w:numPr>
        <w:spacing w:after="80"/>
      </w:pPr>
      <w:r>
        <w:rPr>
          <w:rFonts w:ascii="Arial" w:cs="Arial" w:eastAsia="Arial" w:hAnsi="Arial"/>
          <w:color w:val="1A1A2E"/>
          <w:sz w:val="22"/>
          <w:szCs w:val="22"/>
        </w:rPr>
        <w:t xml:space="preserve">Monitoramento contínuo e automatizado via integração com API de imagens de satélite</w:t>
      </w:r>
    </w:p>
    <w:p>
      <w:pPr>
        <w:pStyle w:val="ListParagraph"/>
        <w:numPr>
          <w:ilvl w:val="0"/>
          <w:numId w:val="2"/>
        </w:numPr>
        <w:spacing w:after="80"/>
      </w:pPr>
      <w:r>
        <w:rPr>
          <w:rFonts w:ascii="Arial" w:cs="Arial" w:eastAsia="Arial" w:hAnsi="Arial"/>
          <w:color w:val="1A1A2E"/>
          <w:sz w:val="22"/>
          <w:szCs w:val="22"/>
        </w:rPr>
        <w:t xml:space="preserve">Alertas automáticos georreferenciados enviados a equipes de fiscalização</w:t>
      </w:r>
    </w:p>
    <w:p>
      <w:pPr>
        <w:pStyle w:val="ListParagraph"/>
        <w:numPr>
          <w:ilvl w:val="0"/>
          <w:numId w:val="2"/>
        </w:numPr>
        <w:spacing w:after="80"/>
      </w:pPr>
      <w:r>
        <w:rPr>
          <w:rFonts w:ascii="Arial" w:cs="Arial" w:eastAsia="Arial" w:hAnsi="Arial"/>
          <w:color w:val="1A1A2E"/>
          <w:sz w:val="22"/>
          <w:szCs w:val="22"/>
        </w:rPr>
        <w:t xml:space="preserve">Painel visual com mapa de calor de risco por região</w:t>
      </w:r>
    </w:p>
    <w:p>
      <w:pPr>
        <w:pStyle w:val="ListParagraph"/>
        <w:numPr>
          <w:ilvl w:val="0"/>
          <w:numId w:val="2"/>
        </w:numPr>
        <w:spacing w:after="80"/>
      </w:pPr>
      <w:r>
        <w:rPr>
          <w:rFonts w:ascii="Arial" w:cs="Arial" w:eastAsia="Arial" w:hAnsi="Arial"/>
          <w:color w:val="1A1A2E"/>
          <w:sz w:val="22"/>
          <w:szCs w:val="22"/>
        </w:rPr>
        <w:t xml:space="preserve">Identificação proativa de áreas críticas para priorização de inspeção presencial</w:t>
      </w:r>
    </w:p>
    <w:p>
      <w:pPr>
        <w:pStyle w:val="ListParagraph"/>
        <w:numPr>
          <w:ilvl w:val="0"/>
          <w:numId w:val="2"/>
        </w:numPr>
        <w:spacing w:after="80"/>
      </w:pPr>
      <w:r>
        <w:rPr>
          <w:rFonts w:ascii="Arial" w:cs="Arial" w:eastAsia="Arial" w:hAnsi="Arial"/>
          <w:color w:val="1A1A2E"/>
          <w:sz w:val="22"/>
          <w:szCs w:val="22"/>
        </w:rPr>
        <w:t xml:space="preserve">Controle histórico de queimadas para análise de tendências e sazonalidade</w:t>
      </w:r>
    </w:p>
    <w:p>
      <w:pPr>
        <w:pStyle w:val="ListParagraph"/>
        <w:numPr>
          <w:ilvl w:val="0"/>
          <w:numId w:val="2"/>
        </w:numPr>
        <w:spacing w:after="80"/>
      </w:pPr>
      <w:r>
        <w:rPr>
          <w:rFonts w:ascii="Arial" w:cs="Arial" w:eastAsia="Arial" w:hAnsi="Arial"/>
          <w:color w:val="1A1A2E"/>
          <w:sz w:val="22"/>
          <w:szCs w:val="22"/>
        </w:rPr>
        <w:t xml:space="preserve">Proteção de áreas de preservação e suporte à tomada de decisão ambiental</w:t>
      </w:r>
    </w:p>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11. Conclusão</w:t>
      </w:r>
    </w:p>
    <w:p>
      <w:pPr>
        <w:spacing w:after="120"/>
        <w:jc w:val="both"/>
      </w:pPr>
      <w:r>
        <w:rPr>
          <w:rFonts w:ascii="Arial" w:cs="Arial" w:eastAsia="Arial" w:hAnsi="Arial"/>
          <w:color w:val="1A1A2E"/>
          <w:sz w:val="22"/>
          <w:szCs w:val="22"/>
        </w:rPr>
        <w:t xml:space="preserve">Este projeto demonstrou que a combinação de Transfer Learning com a arquitetura EfficientNetB0 é uma abordagem eficaz e eficiente para a classificação de imagens de satélite voltada à detecção de risco de incêndio florestal.</w:t>
      </w:r>
    </w:p>
    <w:p>
      <w:pPr>
        <w:spacing w:after="120"/>
        <w:jc w:val="both"/>
      </w:pPr>
      <w:r>
        <w:rPr>
          <w:rFonts w:ascii="Arial" w:cs="Arial" w:eastAsia="Arial" w:hAnsi="Arial"/>
          <w:color w:val="1A1A2E"/>
          <w:sz w:val="22"/>
          <w:szCs w:val="22"/>
        </w:rPr>
        <w:t xml:space="preserve">A utilização de um modelo pré-treinado no ImageNet permitiu aproveitar representações visuais ricas aprendidas em milhões de imagens, adaptando-as ao problema específico de identificação de padrões associados a queimadas em imagens de sensoriamento remoto. A adição de técnicas de regularização (Dropout, BatchNormalization) e o uso criterioso de callbacks (EarlyStopping, ReduceLROnPlateau) contribuíram para um treinamento estável e com boa capacidade de generalização.</w:t>
      </w:r>
    </w:p>
    <w:p>
      <w:pPr>
        <w:spacing w:after="120"/>
        <w:jc w:val="both"/>
      </w:pPr>
      <w:r>
        <w:rPr>
          <w:rFonts w:ascii="Arial" w:cs="Arial" w:eastAsia="Arial" w:hAnsi="Arial"/>
          <w:color w:val="1A1A2E"/>
          <w:sz w:val="22"/>
          <w:szCs w:val="22"/>
        </w:rPr>
        <w:t xml:space="preserve">A pipeline desenvolvida é modular e reproduzível, cobrindo todas as etapas exigidas pelo desafio: análise exploratória dos dados, pré-processamento com data augmentation, modelagem, treinamento, avaliação com múltiplas métricas e inferência em imagens individuais.</w:t>
      </w:r>
    </w:p>
    <w:p>
      <w:pPr>
        <w:spacing w:after="120"/>
        <w:jc w:val="both"/>
      </w:pPr>
      <w:r>
        <w:rPr>
          <w:rFonts w:ascii="Arial" w:cs="Arial" w:eastAsia="Arial" w:hAnsi="Arial"/>
          <w:color w:val="1A1A2E"/>
          <w:sz w:val="22"/>
          <w:szCs w:val="22"/>
        </w:rPr>
        <w:t xml:space="preserve">Do ponto de vista ambiental, a solução proposta tem potencial concreto para contribuir com a preservação de ecossistemas brasileiros e o apoio a órgãos de fiscalização, demonstrando como a Inteligência Artificial pode ser aplicada em prol da sustentabilidade e da proteção do meio ambiente.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Principais Contribuições</w:t>
            </w:r>
          </w:p>
          <w:p>
            <w:pPr>
              <w:spacing w:after="60"/>
            </w:pPr>
            <w:r>
              <w:rPr>
                <w:rFonts w:ascii="Arial" w:cs="Arial" w:eastAsia="Arial" w:hAnsi="Arial"/>
                <w:color w:val="1A1A2E"/>
                <w:sz w:val="20"/>
                <w:szCs w:val="20"/>
              </w:rPr>
              <w:t xml:space="preserve">• Transfer Learning com EfficientNetB0 para classificação binária de imagens de satélite</w:t>
            </w:r>
          </w:p>
          <w:p>
            <w:pPr>
              <w:spacing w:after="60"/>
            </w:pPr>
            <w:r>
              <w:rPr>
                <w:rFonts w:ascii="Arial" w:cs="Arial" w:eastAsia="Arial" w:hAnsi="Arial"/>
                <w:color w:val="1A1A2E"/>
                <w:sz w:val="20"/>
                <w:szCs w:val="20"/>
              </w:rPr>
              <w:t xml:space="preserve">• Pipeline completo e reproduzível no Google Colab</w:t>
            </w:r>
          </w:p>
          <w:p>
            <w:pPr>
              <w:spacing w:after="60"/>
            </w:pPr>
            <w:r>
              <w:rPr>
                <w:rFonts w:ascii="Arial" w:cs="Arial" w:eastAsia="Arial" w:hAnsi="Arial"/>
                <w:color w:val="1A1A2E"/>
                <w:sz w:val="20"/>
                <w:szCs w:val="20"/>
              </w:rPr>
              <w:t xml:space="preserve">• Avaliação abrangente com accuracy, precision, recall, F1-score, matriz de confusão e ROC-AUC</w:t>
            </w:r>
          </w:p>
          <w:p>
            <w:pPr>
              <w:spacing w:after="60"/>
            </w:pPr>
            <w:r>
              <w:rPr>
                <w:rFonts w:ascii="Arial" w:cs="Arial" w:eastAsia="Arial" w:hAnsi="Arial"/>
                <w:color w:val="1A1A2E"/>
                <w:sz w:val="20"/>
                <w:szCs w:val="20"/>
              </w:rPr>
              <w:t xml:space="preserve">• Módulo de inferência individual para imagens novas de satélite</w:t>
            </w:r>
          </w:p>
          <w:p>
            <w:pPr>
              <w:spacing w:after="0"/>
            </w:pPr>
            <w:r>
              <w:rPr>
                <w:rFonts w:ascii="Arial" w:cs="Arial" w:eastAsia="Arial" w:hAnsi="Arial"/>
                <w:color w:val="1A1A2E"/>
                <w:sz w:val="20"/>
                <w:szCs w:val="20"/>
              </w:rPr>
              <w:t xml:space="preserve">• Proposta de integração com IBAMA, Defesa Civil, INPE e Secretarias Ambientais</w:t>
            </w:r>
          </w:p>
        </w:tc>
      </w:tr>
    </w:tbl>
    <w:p>
      <w:r>
        <w:br w:type="page"/>
      </w:r>
    </w:p>
    <w:p>
      <w:pPr>
        <w:pStyle w:val="Heading1"/>
        <w:pBdr>
          <w:bottom w:val="single" w:color="1F5C99" w:sz="8" w:space="4"/>
        </w:pBdr>
        <w:spacing w:after="200" w:before="400"/>
      </w:pPr>
      <w:r>
        <w:rPr>
          <w:rFonts w:ascii="Arial" w:cs="Arial" w:eastAsia="Arial" w:hAnsi="Arial"/>
          <w:b/>
          <w:bCs/>
          <w:color w:val="1F5C99"/>
          <w:sz w:val="32"/>
          <w:szCs w:val="32"/>
        </w:rPr>
        <w:t xml:space="preserve">12. Referências</w:t>
      </w:r>
    </w:p>
    <w:p>
      <w:pPr>
        <w:spacing w:after="0" w:before="80"/>
      </w:pPr>
      <w:r>
        <w:t xml:space="preserve"/>
      </w:r>
    </w:p>
    <w:p>
      <w:pPr>
        <w:pStyle w:val="ListParagraph"/>
        <w:numPr>
          <w:ilvl w:val="0"/>
          <w:numId w:val="3"/>
        </w:numPr>
        <w:spacing w:after="80"/>
      </w:pPr>
      <w:r>
        <w:rPr>
          <w:rFonts w:ascii="Arial" w:cs="Arial" w:eastAsia="Arial" w:hAnsi="Arial"/>
          <w:color w:val="1A1A2E"/>
          <w:sz w:val="22"/>
          <w:szCs w:val="22"/>
        </w:rPr>
        <w:t xml:space="preserve">AABA, A. Wildfire Prediction Dataset. Kaggle, 2023. Disponível em: https://www.kaggle.com/datasets/abdelghaniaaba/wildfire-prediction-dataset</w:t>
      </w:r>
    </w:p>
    <w:p>
      <w:pPr>
        <w:pStyle w:val="ListParagraph"/>
        <w:numPr>
          <w:ilvl w:val="0"/>
          <w:numId w:val="3"/>
        </w:numPr>
        <w:spacing w:after="80"/>
      </w:pPr>
      <w:r>
        <w:rPr>
          <w:rFonts w:ascii="Arial" w:cs="Arial" w:eastAsia="Arial" w:hAnsi="Arial"/>
          <w:color w:val="1A1A2E"/>
          <w:sz w:val="22"/>
          <w:szCs w:val="22"/>
        </w:rPr>
        <w:t xml:space="preserve">TAN, M.; LE, Q. V. EfficientNet: Rethinking Model Scaling for Convolutional Neural Networks. In: Proceedings of the 36th International Conference on Machine Learning (ICML), 2019.</w:t>
      </w:r>
    </w:p>
    <w:p>
      <w:pPr>
        <w:pStyle w:val="ListParagraph"/>
        <w:numPr>
          <w:ilvl w:val="0"/>
          <w:numId w:val="3"/>
        </w:numPr>
        <w:spacing w:after="80"/>
      </w:pPr>
      <w:r>
        <w:rPr>
          <w:rFonts w:ascii="Arial" w:cs="Arial" w:eastAsia="Arial" w:hAnsi="Arial"/>
          <w:color w:val="1A1A2E"/>
          <w:sz w:val="22"/>
          <w:szCs w:val="22"/>
        </w:rPr>
        <w:t xml:space="preserve">CHOLLET, F. Deep Learning with Python. 2. ed. Manning Publications, 2021.</w:t>
      </w:r>
    </w:p>
    <w:p>
      <w:pPr>
        <w:pStyle w:val="ListParagraph"/>
        <w:numPr>
          <w:ilvl w:val="0"/>
          <w:numId w:val="3"/>
        </w:numPr>
        <w:spacing w:after="80"/>
      </w:pPr>
      <w:r>
        <w:rPr>
          <w:rFonts w:ascii="Arial" w:cs="Arial" w:eastAsia="Arial" w:hAnsi="Arial"/>
          <w:color w:val="1A1A2E"/>
          <w:sz w:val="22"/>
          <w:szCs w:val="22"/>
        </w:rPr>
        <w:t xml:space="preserve">TENSORFLOW TEAM. TensorFlow Documentation — Keras Transfer Learning Guide. Disponível em: https://www.tensorflow.org/tutorials/images/transfer_learning</w:t>
      </w:r>
    </w:p>
    <w:p>
      <w:pPr>
        <w:pStyle w:val="ListParagraph"/>
        <w:numPr>
          <w:ilvl w:val="0"/>
          <w:numId w:val="3"/>
        </w:numPr>
        <w:spacing w:after="80"/>
      </w:pPr>
      <w:r>
        <w:rPr>
          <w:rFonts w:ascii="Arial" w:cs="Arial" w:eastAsia="Arial" w:hAnsi="Arial"/>
          <w:color w:val="1A1A2E"/>
          <w:sz w:val="22"/>
          <w:szCs w:val="22"/>
        </w:rPr>
        <w:t xml:space="preserve">GOODFELLOW, I.; BENGIO, Y.; COURVILLE, A. Deep Learning. MIT Press, 2016.</w:t>
      </w:r>
    </w:p>
    <w:p>
      <w:pPr>
        <w:pStyle w:val="ListParagraph"/>
        <w:numPr>
          <w:ilvl w:val="0"/>
          <w:numId w:val="3"/>
        </w:numPr>
        <w:spacing w:after="80"/>
      </w:pPr>
      <w:r>
        <w:rPr>
          <w:rFonts w:ascii="Arial" w:cs="Arial" w:eastAsia="Arial" w:hAnsi="Arial"/>
          <w:color w:val="1A1A2E"/>
          <w:sz w:val="22"/>
          <w:szCs w:val="22"/>
        </w:rPr>
        <w:t xml:space="preserve">INPE — Instituto Nacional de Pesquisas Espaciais. Sistema de Monitoramento de Queimadas. Disponível em: http://queimadas.dgi.inpe.br</w:t>
      </w:r>
    </w:p>
    <w:p>
      <w:pPr>
        <w:pStyle w:val="ListParagraph"/>
        <w:numPr>
          <w:ilvl w:val="0"/>
          <w:numId w:val="3"/>
        </w:numPr>
        <w:spacing w:after="80"/>
      </w:pPr>
      <w:r>
        <w:rPr>
          <w:rFonts w:ascii="Arial" w:cs="Arial" w:eastAsia="Arial" w:hAnsi="Arial"/>
          <w:color w:val="1A1A2E"/>
          <w:sz w:val="22"/>
          <w:szCs w:val="22"/>
        </w:rPr>
        <w:t xml:space="preserve">IBAMA — Instituto Brasileiro do Meio Ambiente e dos Recursos Naturais Renováveis. Monitoramento Ambiental. Disponível em: https://www.gov.br/ibama</w:t>
      </w:r>
    </w:p>
    <w:p>
      <w:pPr>
        <w:pStyle w:val="ListParagraph"/>
        <w:numPr>
          <w:ilvl w:val="0"/>
          <w:numId w:val="3"/>
        </w:numPr>
        <w:spacing w:after="80"/>
      </w:pPr>
      <w:r>
        <w:rPr>
          <w:rFonts w:ascii="Arial" w:cs="Arial" w:eastAsia="Arial" w:hAnsi="Arial"/>
          <w:color w:val="1A1A2E"/>
          <w:sz w:val="22"/>
          <w:szCs w:val="22"/>
        </w:rPr>
        <w:t xml:space="preserve">FIAP. Global Solution 2026.1 — Desafio: Monitoramento Inteligente de Áreas de Preservação e Supressão Vegetal com Visão Computacional. São Paulo: FIAP,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80"/>
    </w:pPr>
    <w:r>
      <w:rPr>
        <w:rFonts w:ascii="Arial" w:cs="Arial" w:eastAsia="Arial" w:hAnsi="Arial"/>
        <w:color w:val="666666"/>
        <w:sz w:val="18"/>
        <w:szCs w:val="18"/>
      </w:rPr>
      <w:t xml:space="preserve">Monitoramento de Incêndios Florestais com Visão Computacional</w:t>
    </w:r>
    <w:r>
      <w:rPr>
        <w:rFonts w:ascii="Arial" w:cs="Arial" w:eastAsia="Arial" w:hAnsi="Arial"/>
        <w:color w:val="1F5C99"/>
        <w:sz w:val="18"/>
        <w:szCs w:val="18"/>
      </w:rPr>
      <w:t xml:space="preserve">  |  FIAP 2TIAPF — GS 2026.1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2026-06-09T18:18:02.535Z</dcterms:created>
  <dcterms:modified xsi:type="dcterms:W3CDTF">2026-06-09T18:18:02.536Z</dcterms:modified>
</cp:coreProperties>
</file>

<file path=docProps/custom.xml><?xml version="1.0" encoding="utf-8"?>
<Properties xmlns="http://schemas.openxmlformats.org/officeDocument/2006/custom-properties" xmlns:vt="http://schemas.openxmlformats.org/officeDocument/2006/docPropsVTypes"/>
</file>