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IV: METODOLOGI ANALISIS RUANG HIDUP YANG TERAMPAS</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4: Ruang Hidup yang Terampas</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4.1 TREN ESKALASI KONFLIK AGRARIA SEIRING EKSPANSI INDUSTRI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Catatan Konflik Agraria: data/processed/sulawesi_konflik_agraria_tanahkita.csv. Visualisasi dashboard menggunakan Analisis Tren Time-Series untuk melacak eskalasi letupan konflik agraria historis berdasarkan tahun pencatatan dan sektor pemicu.</w:t>
      </w:r>
    </w:p>
    <w:p>
      <w:pPr>
        <w:spacing w:before="160" w:after="40"/>
      </w:pPr>
      <w:r>
        <w:rPr>
          <w:b/>
          <w:i w:val="0"/>
          <w:color w:val="2E7D32"/>
          <w:sz w:val="19"/>
        </w:rPr>
        <w:t>A. Pengantar &amp; Kerangka Narasi</w:t>
      </w:r>
    </w:p>
    <w:p>
      <w:pPr>
        <w:spacing w:after="100"/>
        <w:jc w:val="both"/>
      </w:pPr>
      <w:r>
        <w:rPr>
          <w:b w:val="0"/>
          <w:i w:val="0"/>
          <w:color w:val="222222"/>
          <w:sz w:val="19"/>
        </w:rPr>
        <w:t xml:space="preserve">Ekspansi industri ekstraktif dan proyek strategis berimplikasi pada dinamika sosial dan penggunaan lahan masyarakat. Data empiris mencatat akumulasi 95 kasus konflik agraria, dengan estimasi 90,582 jiwa terdampak dan 51 kasus berstatus belum ditangani. </w:t>
      </w:r>
      <w:r>
        <w:rPr>
          <w:b w:val="0"/>
          <w:i w:val="0"/>
          <w:color w:val="222222"/>
          <w:sz w:val="19"/>
        </w:rPr>
        <w:t>Tiga sektor utama (Perkebunan, Kehutanan, dan Pertambangan) menyumbang porsi 82.1% dari keseluruhan catatan konflik regional.</w:t>
      </w:r>
    </w:p>
    <w:p>
      <w:pPr>
        <w:spacing w:after="100"/>
        <w:jc w:val="both"/>
      </w:pPr>
      <w:r>
        <w:rPr>
          <w:b w:val="0"/>
          <w:i w:val="0"/>
          <w:color w:val="222222"/>
          <w:sz w:val="19"/>
        </w:rPr>
        <w:t>Pada periode pra-2005, sistem pendataan mencatat 13 kasus konflik agraria. Pada periode pasca-2005 hingga saat ini, data mencatat 82 kasus konflik lahan, atau setara peningkatan sebesar 630.8% dibandingkan periode sebelumnya.</w:t>
      </w:r>
    </w:p>
    <w:p>
      <w:pPr>
        <w:spacing w:before="160" w:after="40"/>
      </w:pPr>
      <w:r>
        <w:rPr>
          <w:b/>
          <w:i w:val="0"/>
          <w:color w:val="2E7D32"/>
          <w:sz w:val="19"/>
        </w:rPr>
        <w:t>B. Alur Logika Metodologis Analisis Tren Time-Series</w:t>
      </w:r>
    </w:p>
    <w:p>
      <w:pPr>
        <w:spacing w:after="100"/>
        <w:jc w:val="both"/>
      </w:pPr>
      <w:r>
        <w:rPr>
          <w:b w:val="0"/>
          <w:i w:val="0"/>
          <w:color w:val="222222"/>
          <w:sz w:val="19"/>
        </w:rPr>
        <w:t xml:space="preserve">Kerangka analisis tren runtun waktu untuk melacak eskalasi kasus perampasan lahan secara historis diilustrasikan pada </w:t>
      </w:r>
      <w:r>
        <w:rPr>
          <w:b/>
          <w:i w:val="0"/>
          <w:color w:val="222222"/>
          <w:sz w:val="19"/>
        </w:rPr>
        <w:t>Bagan Alur 4.1</w:t>
      </w:r>
      <w:r>
        <w:rPr>
          <w:b w:val="0"/>
          <w:i w:val="0"/>
          <w:color w:val="222222"/>
          <w:sz w:val="19"/>
        </w:rPr>
        <w:t xml:space="preserve"> berikut. Sub-bab ini tidak menggunakan uji inferensial Chi-Square, melainkan agregasi time-series dan komparasi periodik.</w:t>
      </w:r>
    </w:p>
    <w:p>
      <w:pPr>
        <w:spacing w:before="120" w:after="40"/>
      </w:pPr>
      <w:r>
        <w:rPr>
          <w:b/>
          <w:i/>
          <w:color w:val="2E7D32"/>
          <w:sz w:val="17"/>
        </w:rPr>
        <w:t>Bagan Alur 4.1: Alur Logika Metodologis Time-Series Trend Analysis Konflik Agraria</w:t>
      </w:r>
    </w:p>
    <w:p>
      <w:pPr>
        <w:jc w:val="center"/>
      </w:pPr>
      <w:r>
        <w:drawing>
          <wp:inline xmlns:a="http://schemas.openxmlformats.org/drawingml/2006/main" xmlns:pic="http://schemas.openxmlformats.org/drawingml/2006/picture">
            <wp:extent cx="5400000" cy="796954"/>
            <wp:docPr id="1" name="Picture 1"/>
            <wp:cNvGraphicFramePr>
              <a:graphicFrameLocks noChangeAspect="1"/>
            </wp:cNvGraphicFramePr>
            <a:graphic>
              <a:graphicData uri="http://schemas.openxmlformats.org/drawingml/2006/picture">
                <pic:pic>
                  <pic:nvPicPr>
                    <pic:cNvPr id="0" name="mermaid_flowchart_4_1.png"/>
                    <pic:cNvPicPr/>
                  </pic:nvPicPr>
                  <pic:blipFill>
                    <a:blip r:embed="rId9"/>
                    <a:stretch>
                      <a:fillRect/>
                    </a:stretch>
                  </pic:blipFill>
                  <pic:spPr>
                    <a:xfrm>
                      <a:off x="0" y="0"/>
                      <a:ext cx="5400000" cy="796954"/>
                    </a:xfrm>
                    <a:prstGeom prst="rect"/>
                  </pic:spPr>
                </pic:pic>
              </a:graphicData>
            </a:graphic>
          </wp:inline>
        </w:drawing>
      </w:r>
    </w:p>
    <w:p>
      <w:pPr>
        <w:spacing w:before="160" w:after="40"/>
      </w:pPr>
      <w:r>
        <w:rPr>
          <w:b/>
          <w:i w:val="0"/>
          <w:color w:val="2E7D32"/>
          <w:sz w:val="19"/>
        </w:rPr>
        <w:t>C. Formulasi Matematis: Agregasi Konflik Tahunan dan Lonjakan Eskalasi</w:t>
      </w:r>
    </w:p>
    <w:p>
      <w:pPr>
        <w:spacing w:after="100"/>
        <w:jc w:val="both"/>
      </w:pPr>
      <w:r>
        <w:rPr>
          <w:b w:val="0"/>
          <w:i w:val="0"/>
          <w:color w:val="222222"/>
          <w:sz w:val="19"/>
        </w:rPr>
        <w:t>Agregasi konflik berdasarkan tahun pencatatan dan sektor industri dihitung menggunakan sistem formulasi matematis berikut:</w:t>
      </w:r>
    </w:p>
    <w:p>
      <w:pPr>
        <w:spacing w:before="120" w:after="20"/>
      </w:pPr>
      <w:r>
        <w:rPr>
          <w:b/>
          <w:i/>
          <w:color w:val="2E7D32"/>
          <w:sz w:val="17"/>
        </w:rPr>
        <w:t>Persamaan: Total Konflik Tahunan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K_{t,s} = Σ c_i, untuk setiap kasus i pada tahun t dan sektor s</w:t>
      </w:r>
    </w:p>
    <w:p>
      <w:pPr>
        <w:spacing w:before="40" w:after="120"/>
        <w:ind w:left="280"/>
      </w:pPr>
      <w:r>
        <w:rPr>
          <w:b/>
          <w:i/>
          <w:color w:val="333333"/>
          <w:sz w:val="16"/>
        </w:rPr>
        <w:t>Keterangan Variabel:</w:t>
        <w:br/>
      </w:r>
      <w:r>
        <w:rPr>
          <w:b/>
          <w:i w:val="0"/>
          <w:color w:val="1B5E20"/>
          <w:sz w:val="16"/>
        </w:rPr>
        <w:t xml:space="preserve">- K_{t,s}: </w:t>
      </w:r>
      <w:r>
        <w:rPr>
          <w:b w:val="0"/>
          <w:i w:val="0"/>
          <w:color w:val="444444"/>
          <w:sz w:val="16"/>
        </w:rPr>
        <w:t>Total letupan konflik pada tahun t dan sektor pemicu s.</w:t>
        <w:br/>
      </w:r>
      <w:r>
        <w:rPr>
          <w:b/>
          <w:i w:val="0"/>
          <w:color w:val="1B5E20"/>
          <w:sz w:val="16"/>
        </w:rPr>
        <w:t xml:space="preserve">- c_i: </w:t>
      </w:r>
      <w:r>
        <w:rPr>
          <w:b w:val="0"/>
          <w:i w:val="0"/>
          <w:color w:val="444444"/>
          <w:sz w:val="16"/>
        </w:rPr>
        <w:t>Indikator kasus konflik ke-i; bernilai 1 jika kasus masuk tahun t dan sektor s.</w:t>
        <w:br/>
      </w:r>
      <w:r>
        <w:rPr>
          <w:b/>
          <w:i w:val="0"/>
          <w:color w:val="1B5E20"/>
          <w:sz w:val="16"/>
        </w:rPr>
        <w:t xml:space="preserve">- t: </w:t>
      </w:r>
      <w:r>
        <w:rPr>
          <w:b w:val="0"/>
          <w:i w:val="0"/>
          <w:color w:val="444444"/>
          <w:sz w:val="16"/>
        </w:rPr>
        <w:t>Tahun pencatatan konflik.</w:t>
        <w:br/>
      </w:r>
      <w:r>
        <w:rPr>
          <w:b/>
          <w:i w:val="0"/>
          <w:color w:val="1B5E20"/>
          <w:sz w:val="16"/>
        </w:rPr>
        <w:t xml:space="preserve">- s: </w:t>
      </w:r>
      <w:r>
        <w:rPr>
          <w:b w:val="0"/>
          <w:i w:val="0"/>
          <w:color w:val="444444"/>
          <w:sz w:val="16"/>
        </w:rPr>
        <w:t>Sektor pemicu konflik: Perkebunan, Kehutanan, Pertambangan, Infrastruktur &amp; PSN, Pariwisata &amp; Pesisir, atau Lainnya.</w:t>
      </w:r>
    </w:p>
    <w:p>
      <w:pPr>
        <w:spacing w:before="120" w:after="20"/>
      </w:pPr>
      <w:r>
        <w:rPr>
          <w:b/>
          <w:i/>
          <w:color w:val="2E7D32"/>
          <w:sz w:val="17"/>
        </w:rPr>
        <w:t>Persamaan: Lonjakan Eskalasi Pasca-2005</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 (%) = ( K_Pasca / K_Pra ) × 100</w:t>
      </w:r>
    </w:p>
    <w:p>
      <w:pPr>
        <w:spacing w:before="40" w:after="120"/>
        <w:ind w:left="280"/>
      </w:pPr>
      <w:r>
        <w:rPr>
          <w:b/>
          <w:i/>
          <w:color w:val="333333"/>
          <w:sz w:val="16"/>
        </w:rPr>
        <w:t>Keterangan Variabel:</w:t>
        <w:br/>
      </w:r>
      <w:r>
        <w:rPr>
          <w:b/>
          <w:i w:val="0"/>
          <w:color w:val="1B5E20"/>
          <w:sz w:val="16"/>
        </w:rPr>
        <w:t xml:space="preserve">- E (%): </w:t>
      </w:r>
      <w:r>
        <w:rPr>
          <w:b w:val="0"/>
          <w:i w:val="0"/>
          <w:color w:val="444444"/>
          <w:sz w:val="16"/>
        </w:rPr>
        <w:t>Rasio eskalasi konflik pasca-2005 terhadap periode pra-2005.</w:t>
        <w:br/>
      </w:r>
      <w:r>
        <w:rPr>
          <w:b/>
          <w:i w:val="0"/>
          <w:color w:val="1B5E20"/>
          <w:sz w:val="16"/>
        </w:rPr>
        <w:t xml:space="preserve">- K_Pasca: </w:t>
      </w:r>
      <w:r>
        <w:rPr>
          <w:b w:val="0"/>
          <w:i w:val="0"/>
          <w:color w:val="444444"/>
          <w:sz w:val="16"/>
        </w:rPr>
        <w:t>Jumlah konflik periode pasca-2005 (82 kasus).</w:t>
        <w:br/>
      </w:r>
      <w:r>
        <w:rPr>
          <w:b/>
          <w:i w:val="0"/>
          <w:color w:val="1B5E20"/>
          <w:sz w:val="16"/>
        </w:rPr>
        <w:t xml:space="preserve">- K_Pra: </w:t>
      </w:r>
      <w:r>
        <w:rPr>
          <w:b w:val="0"/>
          <w:i w:val="0"/>
          <w:color w:val="444444"/>
          <w:sz w:val="16"/>
        </w:rPr>
        <w:t>Jumlah konflik periode pra-2005 (13 kasus).</w:t>
      </w:r>
    </w:p>
    <w:p>
      <w:pPr>
        <w:spacing w:before="120" w:after="20"/>
      </w:pPr>
      <w:r>
        <w:rPr>
          <w:b/>
          <w:i/>
          <w:color w:val="2E7D32"/>
          <w:sz w:val="17"/>
        </w:rPr>
        <w:t>Persamaan: Substitusi Lonjakan Eskalasi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 = (82 / 13) × 100 = 630.8%</w:t>
      </w:r>
    </w:p>
    <w:p>
      <w:pPr>
        <w:spacing w:before="160" w:after="40"/>
      </w:pPr>
      <w:r>
        <w:rPr>
          <w:b/>
          <w:i w:val="0"/>
          <w:color w:val="2E7D32"/>
          <w:sz w:val="19"/>
        </w:rPr>
        <w:t>D. Matriks Hasil Uji Empiris: Tren Tahunan dan Sektor Pemicu Konflik</w:t>
      </w:r>
    </w:p>
    <w:p>
      <w:pPr>
        <w:spacing w:after="100"/>
        <w:jc w:val="both"/>
      </w:pPr>
      <w:r>
        <w:rPr>
          <w:b w:val="0"/>
          <w:i w:val="0"/>
          <w:color w:val="222222"/>
          <w:sz w:val="19"/>
        </w:rPr>
        <w:t>Distribusi jumlah konflik agraria modern sejak 1990 disajikan pada Tabel 4.1 berikut:</w:t>
      </w:r>
    </w:p>
    <w:p>
      <w:pPr>
        <w:spacing w:before="120" w:after="40"/>
      </w:pPr>
      <w:r>
        <w:rPr>
          <w:b/>
          <w:i/>
          <w:color w:val="2E7D32"/>
          <w:sz w:val="17"/>
        </w:rPr>
        <w:t>Tabel 4.1: Tren Tahunan Konflik Agraria Regional (1990-2025)</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2008</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2018</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bl>
    <w:p>
      <w:pPr>
        <w:spacing w:after="80"/>
      </w:pPr>
    </w:p>
    <w:p>
      <w:pPr>
        <w:spacing w:before="120" w:after="40"/>
      </w:pPr>
      <w:r>
        <w:rPr>
          <w:b/>
          <w:i/>
          <w:color w:val="2E7D32"/>
          <w:sz w:val="17"/>
        </w:rPr>
        <w:t>Tabel 4.2: Distribusi Konflik Agraria menurut Sektor Pemicu</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23.9%</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w:t>
            </w:r>
          </w:p>
        </w:tc>
      </w:tr>
    </w:tbl>
    <w:p>
      <w:pPr>
        <w:spacing w:after="80"/>
      </w:pPr>
    </w:p>
    <w:p>
      <w:pPr>
        <w:spacing w:before="120" w:after="40"/>
      </w:pPr>
      <w:r>
        <w:rPr>
          <w:b/>
          <w:i/>
          <w:color w:val="2E7D32"/>
          <w:sz w:val="17"/>
        </w:rPr>
        <w:t>Tabel 4.3: Komposisi Sektor pada Tahun Puncak Insidensi (2017)</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60" w:after="40"/>
      </w:pPr>
      <w:r>
        <w:rPr>
          <w:b/>
          <w:i w:val="0"/>
          <w:color w:val="2E7D32"/>
          <w:sz w:val="19"/>
        </w:rPr>
        <w:t>E. Analisis Temuan Empiris: Puncak Insidensi dan Eskalasi Konflik</w:t>
      </w:r>
    </w:p>
    <w:p>
      <w:pPr>
        <w:spacing w:after="100"/>
        <w:jc w:val="both"/>
      </w:pPr>
      <w:r>
        <w:rPr>
          <w:b w:val="0"/>
          <w:i w:val="0"/>
          <w:color w:val="222222"/>
          <w:sz w:val="19"/>
        </w:rPr>
        <w:t xml:space="preserve">Grafik time-series pada dashboard memperlihatkan peningkatan insidensi konflik yang memuncak pada tahun 2017 dengan 21 kasus konflik. Pembedahan data sektoral menunjukkan konsentrasi konflik pada sektor-sektor berbasis penguasaan ruang. </w:t>
      </w:r>
      <w:r>
        <w:rPr>
          <w:b w:val="0"/>
          <w:i w:val="0"/>
          <w:color w:val="222222"/>
          <w:sz w:val="19"/>
        </w:rPr>
        <w:t>Peningkatan insidensi konflik beririsan dengan dinamika perizinan kawasan, sehingga pengelolaan alokasi ruang dan perlindungan hak masyarakat di wilayah investasi menjadi faktor penting untuk meminimalkan dampak sosial.</w:t>
      </w:r>
    </w:p>
    <w:p>
      <w:pPr>
        <w:spacing w:before="240" w:after="80"/>
        <w:pBdr>
          <w:bottom w:val="single" w:sz="6" w:space="2" w:color="2E7D32"/>
        </w:pBdr>
      </w:pPr>
      <w:r>
        <w:rPr>
          <w:b/>
          <w:i w:val="0"/>
          <w:color w:val="2E7D32"/>
          <w:sz w:val="22"/>
        </w:rPr>
        <w:t>4.2 SEBARAN SEKTORAL: DAMPAK MASYARAKAT DAN PENGGUNAAN LAHAN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Dampak Konflik: data/processed/sulawesi_konflik_agraria_tanahkita.csv. Visualisasi dashboard menggunakan Analisis Komparatif Dampak Sosial-Ekologis untuk membedah skala korban terdampak (jiwa) dan luas area konflik (hektar) antar sektor.</w:t>
      </w:r>
    </w:p>
    <w:p>
      <w:pPr>
        <w:spacing w:before="160" w:after="40"/>
      </w:pPr>
      <w:r>
        <w:rPr>
          <w:b/>
          <w:i w:val="0"/>
          <w:color w:val="2E7D32"/>
          <w:sz w:val="19"/>
        </w:rPr>
        <w:t>A. Pengantar &amp; Kerangka Narasi</w:t>
      </w:r>
    </w:p>
    <w:p>
      <w:pPr>
        <w:spacing w:after="100"/>
        <w:jc w:val="both"/>
      </w:pPr>
      <w:r>
        <w:rPr>
          <w:b w:val="0"/>
          <w:i w:val="0"/>
          <w:color w:val="222222"/>
          <w:sz w:val="19"/>
        </w:rPr>
        <w:t xml:space="preserve">Visualisasi komparatif menggambarkan skala dampak sosial dan penggunaan lahan berdasarkan sektor industri. </w:t>
      </w:r>
      <w:r>
        <w:rPr>
          <w:b w:val="0"/>
          <w:i w:val="0"/>
          <w:color w:val="222222"/>
          <w:sz w:val="19"/>
        </w:rPr>
        <w:t xml:space="preserve">Data menunjukkan bahwa Sektor Pertambangan mencatatkan jumlah warga terdampak terbesar, yaitu 54,658 jiwa, disusul sektor Kehutanan sebanyak 21,886 jiwa. </w:t>
      </w:r>
      <w:r>
        <w:rPr>
          <w:b w:val="0"/>
          <w:i w:val="0"/>
          <w:color w:val="222222"/>
          <w:sz w:val="19"/>
        </w:rPr>
        <w:t>Pola ini memperlihatkan bahwa konflik agraria tidak hanya terkait jumlah kejadian, tetapi juga skala sosial warga yang terdampak.</w:t>
      </w:r>
    </w:p>
    <w:p>
      <w:pPr>
        <w:spacing w:after="100"/>
        <w:jc w:val="both"/>
      </w:pPr>
      <w:r>
        <w:rPr>
          <w:b w:val="0"/>
          <w:i w:val="0"/>
          <w:color w:val="222222"/>
          <w:sz w:val="19"/>
        </w:rPr>
        <w:t>Dari dimensi penggunaan lahan, Sektor Pertambangan juga mencatatkan luas sengketa terbesar yaitu 441,286 hektar, disusul Perkebunan seluas 77,902 ha dan Kehutanan seluas 66,193 ha.</w:t>
      </w:r>
    </w:p>
    <w:p>
      <w:pPr>
        <w:spacing w:before="160" w:after="40"/>
      </w:pPr>
      <w:r>
        <w:rPr>
          <w:b/>
          <w:i w:val="0"/>
          <w:color w:val="2E7D32"/>
          <w:sz w:val="19"/>
        </w:rPr>
        <w:t>B. Alur Logika Metodologis Analisis Komparatif Dampak Sosial-Ekologis</w:t>
      </w:r>
    </w:p>
    <w:p>
      <w:pPr>
        <w:spacing w:after="100"/>
        <w:jc w:val="both"/>
      </w:pPr>
      <w:r>
        <w:rPr>
          <w:b w:val="0"/>
          <w:i w:val="0"/>
          <w:color w:val="222222"/>
          <w:sz w:val="19"/>
        </w:rPr>
        <w:t xml:space="preserve">Kerangka agregasi komparatif untuk membedah skala kehancuran sosial dan monopoli ruang antar sektor diilustrasikan pada </w:t>
      </w:r>
      <w:r>
        <w:rPr>
          <w:b/>
          <w:i w:val="0"/>
          <w:color w:val="222222"/>
          <w:sz w:val="19"/>
        </w:rPr>
        <w:t>Bagan Alur 4.2</w:t>
      </w:r>
      <w:r>
        <w:rPr>
          <w:b w:val="0"/>
          <w:i w:val="0"/>
          <w:color w:val="222222"/>
          <w:sz w:val="19"/>
        </w:rPr>
        <w:t xml:space="preserve"> berikut. Sub-bab ini tidak menggunakan uji inferensial Chi-Square, melainkan Sectoral Burden Analysis dan bedah anomali lonjakan.</w:t>
      </w:r>
    </w:p>
    <w:p>
      <w:pPr>
        <w:spacing w:before="120" w:after="40"/>
      </w:pPr>
      <w:r>
        <w:rPr>
          <w:b/>
          <w:i/>
          <w:color w:val="2E7D32"/>
          <w:sz w:val="17"/>
        </w:rPr>
        <w:t>Bagan Alur 4.2: Alur Logika Metodologis Analisis Komparatif Dampak Sosial-Ekologis</w:t>
      </w:r>
    </w:p>
    <w:p>
      <w:pPr>
        <w:jc w:val="center"/>
      </w:pPr>
      <w:r>
        <w:drawing>
          <wp:inline xmlns:a="http://schemas.openxmlformats.org/drawingml/2006/main" xmlns:pic="http://schemas.openxmlformats.org/drawingml/2006/picture">
            <wp:extent cx="5400000" cy="1102041"/>
            <wp:docPr id="2" name="Picture 2"/>
            <wp:cNvGraphicFramePr>
              <a:graphicFrameLocks noChangeAspect="1"/>
            </wp:cNvGraphicFramePr>
            <a:graphic>
              <a:graphicData uri="http://schemas.openxmlformats.org/drawingml/2006/picture">
                <pic:pic>
                  <pic:nvPicPr>
                    <pic:cNvPr id="0" name="mermaid_flowchart_4_2.png"/>
                    <pic:cNvPicPr/>
                  </pic:nvPicPr>
                  <pic:blipFill>
                    <a:blip r:embed="rId10"/>
                    <a:stretch>
                      <a:fillRect/>
                    </a:stretch>
                  </pic:blipFill>
                  <pic:spPr>
                    <a:xfrm>
                      <a:off x="0" y="0"/>
                      <a:ext cx="5400000" cy="1102041"/>
                    </a:xfrm>
                    <a:prstGeom prst="rect"/>
                  </pic:spPr>
                </pic:pic>
              </a:graphicData>
            </a:graphic>
          </wp:inline>
        </w:drawing>
      </w:r>
    </w:p>
    <w:p>
      <w:pPr>
        <w:spacing w:before="160" w:after="40"/>
      </w:pPr>
      <w:r>
        <w:rPr>
          <w:b/>
          <w:i w:val="0"/>
          <w:color w:val="2E7D32"/>
          <w:sz w:val="19"/>
        </w:rPr>
        <w:t>C. Formulasi Matematis: Agregasi Jiwa Terdampak dan Monopoli Area</w:t>
      </w:r>
    </w:p>
    <w:p>
      <w:pPr>
        <w:spacing w:after="100"/>
        <w:jc w:val="both"/>
      </w:pPr>
      <w:r>
        <w:rPr>
          <w:b w:val="0"/>
          <w:i w:val="0"/>
          <w:color w:val="222222"/>
          <w:sz w:val="19"/>
        </w:rPr>
        <w:t>Agregasi korban terdampak dan luas area konflik per sektor dihitung menggunakan sistem formulasi matematis berikut:</w:t>
      </w:r>
    </w:p>
    <w:p>
      <w:pPr>
        <w:spacing w:before="120" w:after="20"/>
      </w:pPr>
      <w:r>
        <w:rPr>
          <w:b/>
          <w:i/>
          <w:color w:val="2E7D32"/>
          <w:sz w:val="17"/>
        </w:rPr>
        <w:t>Persamaan: Total Jiwa Terdampak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J_s = Σ J_i, untuk setiap kasus i pada sektor s</w:t>
      </w:r>
    </w:p>
    <w:p>
      <w:pPr>
        <w:spacing w:before="40" w:after="120"/>
        <w:ind w:left="280"/>
      </w:pPr>
      <w:r>
        <w:rPr>
          <w:b/>
          <w:i/>
          <w:color w:val="333333"/>
          <w:sz w:val="16"/>
        </w:rPr>
        <w:t>Keterangan Variabel:</w:t>
        <w:br/>
      </w:r>
      <w:r>
        <w:rPr>
          <w:b/>
          <w:i w:val="0"/>
          <w:color w:val="1B5E20"/>
          <w:sz w:val="16"/>
        </w:rPr>
        <w:t xml:space="preserve">- J_s: </w:t>
      </w:r>
      <w:r>
        <w:rPr>
          <w:b w:val="0"/>
          <w:i w:val="0"/>
          <w:color w:val="444444"/>
          <w:sz w:val="16"/>
        </w:rPr>
        <w:t>Total warga terdampak pada sektor konflik s.</w:t>
        <w:br/>
      </w:r>
      <w:r>
        <w:rPr>
          <w:b/>
          <w:i w:val="0"/>
          <w:color w:val="1B5E20"/>
          <w:sz w:val="16"/>
        </w:rPr>
        <w:t xml:space="preserve">- J_i: </w:t>
      </w:r>
      <w:r>
        <w:rPr>
          <w:b w:val="0"/>
          <w:i w:val="0"/>
          <w:color w:val="444444"/>
          <w:sz w:val="16"/>
        </w:rPr>
        <w:t>Jumlah masyarakat terdampak pada kasus konflik ke-i.</w:t>
        <w:br/>
      </w:r>
      <w:r>
        <w:rPr>
          <w:b/>
          <w:i w:val="0"/>
          <w:color w:val="1B5E20"/>
          <w:sz w:val="16"/>
        </w:rPr>
        <w:t xml:space="preserve">- s: </w:t>
      </w:r>
      <w:r>
        <w:rPr>
          <w:b w:val="0"/>
          <w:i w:val="0"/>
          <w:color w:val="444444"/>
          <w:sz w:val="16"/>
        </w:rPr>
        <w:t>Sektor pemicu konflik.</w:t>
      </w:r>
    </w:p>
    <w:p>
      <w:pPr>
        <w:spacing w:before="120" w:after="20"/>
      </w:pPr>
      <w:r>
        <w:rPr>
          <w:b/>
          <w:i/>
          <w:color w:val="2E7D32"/>
          <w:sz w:val="17"/>
        </w:rPr>
        <w:t>Persamaan: Total Monopoli Area Konflik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A_s = Σ A_i, untuk setiap kasus i pada sektor s</w:t>
      </w:r>
    </w:p>
    <w:p>
      <w:pPr>
        <w:spacing w:before="40" w:after="120"/>
        <w:ind w:left="280"/>
      </w:pPr>
      <w:r>
        <w:rPr>
          <w:b/>
          <w:i/>
          <w:color w:val="333333"/>
          <w:sz w:val="16"/>
        </w:rPr>
        <w:t>Keterangan Variabel:</w:t>
        <w:br/>
      </w:r>
      <w:r>
        <w:rPr>
          <w:b/>
          <w:i w:val="0"/>
          <w:color w:val="1B5E20"/>
          <w:sz w:val="16"/>
        </w:rPr>
        <w:t xml:space="preserve">- A_s: </w:t>
      </w:r>
      <w:r>
        <w:rPr>
          <w:b w:val="0"/>
          <w:i w:val="0"/>
          <w:color w:val="444444"/>
          <w:sz w:val="16"/>
        </w:rPr>
        <w:t>Total luas area konflik pada sektor s (hektar).</w:t>
        <w:br/>
      </w:r>
      <w:r>
        <w:rPr>
          <w:b/>
          <w:i w:val="0"/>
          <w:color w:val="1B5E20"/>
          <w:sz w:val="16"/>
        </w:rPr>
        <w:t xml:space="preserve">- A_i: </w:t>
      </w:r>
      <w:r>
        <w:rPr>
          <w:b w:val="0"/>
          <w:i w:val="0"/>
          <w:color w:val="444444"/>
          <w:sz w:val="16"/>
        </w:rPr>
        <w:t>Luas area konflik pada kasus ke-i (hektar).</w:t>
      </w:r>
    </w:p>
    <w:p>
      <w:pPr>
        <w:spacing w:before="120" w:after="20"/>
      </w:pPr>
      <w:r>
        <w:rPr>
          <w:b/>
          <w:i/>
          <w:color w:val="2E7D32"/>
          <w:sz w:val="17"/>
        </w:rPr>
        <w:t>Persamaan: Proporsi Dampak Sektoral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P_s (%) = ( Nilai_s / Nilai_Total ) × 100</w:t>
      </w:r>
    </w:p>
    <w:p>
      <w:pPr>
        <w:spacing w:before="40" w:after="120"/>
        <w:ind w:left="280"/>
      </w:pPr>
      <w:r>
        <w:rPr>
          <w:b/>
          <w:i/>
          <w:color w:val="333333"/>
          <w:sz w:val="16"/>
        </w:rPr>
        <w:t>Keterangan Variabel:</w:t>
        <w:br/>
      </w:r>
      <w:r>
        <w:rPr>
          <w:b/>
          <w:i w:val="0"/>
          <w:color w:val="1B5E20"/>
          <w:sz w:val="16"/>
        </w:rPr>
        <w:t xml:space="preserve">- P_s (%): </w:t>
      </w:r>
      <w:r>
        <w:rPr>
          <w:b w:val="0"/>
          <w:i w:val="0"/>
          <w:color w:val="444444"/>
          <w:sz w:val="16"/>
        </w:rPr>
        <w:t>Persentase kontribusi sektor s terhadap total jiwa terdampak atau total luas area konflik.</w:t>
        <w:br/>
      </w:r>
      <w:r>
        <w:rPr>
          <w:b/>
          <w:i w:val="0"/>
          <w:color w:val="1B5E20"/>
          <w:sz w:val="16"/>
        </w:rPr>
        <w:t xml:space="preserve">- Nilai_s: </w:t>
      </w:r>
      <w:r>
        <w:rPr>
          <w:b w:val="0"/>
          <w:i w:val="0"/>
          <w:color w:val="444444"/>
          <w:sz w:val="16"/>
        </w:rPr>
        <w:t>Total jiwa atau total hektar pada sektor s.</w:t>
        <w:br/>
      </w:r>
      <w:r>
        <w:rPr>
          <w:b/>
          <w:i w:val="0"/>
          <w:color w:val="1B5E20"/>
          <w:sz w:val="16"/>
        </w:rPr>
        <w:t xml:space="preserve">- Nilai_Total: </w:t>
      </w:r>
      <w:r>
        <w:rPr>
          <w:b w:val="0"/>
          <w:i w:val="0"/>
          <w:color w:val="444444"/>
          <w:sz w:val="16"/>
        </w:rPr>
        <w:t>Total jiwa atau total hektar seluruh sektor yang dianalisis.</w:t>
      </w:r>
    </w:p>
    <w:p>
      <w:pPr>
        <w:spacing w:before="160" w:after="40"/>
      </w:pPr>
      <w:r>
        <w:rPr>
          <w:b/>
          <w:i w:val="0"/>
          <w:color w:val="2E7D32"/>
          <w:sz w:val="19"/>
        </w:rPr>
        <w:t>D. Matriks Hasil Uji Empiris: Dampak Sosial dan Monopoli Ruang</w:t>
      </w:r>
    </w:p>
    <w:p>
      <w:pPr>
        <w:spacing w:after="100"/>
        <w:jc w:val="both"/>
      </w:pPr>
      <w:r>
        <w:rPr>
          <w:b w:val="0"/>
          <w:i w:val="0"/>
          <w:color w:val="222222"/>
          <w:sz w:val="19"/>
        </w:rPr>
        <w:t>Agregasi dampak masyarakat dan luas area konflik menurut sektor disajikan pada Tabel 4.4 berikut:</w:t>
      </w:r>
    </w:p>
    <w:p>
      <w:pPr>
        <w:spacing w:before="120" w:after="40"/>
      </w:pPr>
      <w:r>
        <w:rPr>
          <w:b/>
          <w:i/>
          <w:color w:val="2E7D32"/>
          <w:sz w:val="17"/>
        </w:rPr>
        <w:t>Tabel 4.4: Matriks Dampak Sosial-Ekologis Konflik Agraria menurut Sektor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Jiwa Terdampak</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Jiwa</w:t>
            </w:r>
          </w:p>
        </w:tc>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Area (Ha)</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Area</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54,658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60.3%</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441,286</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73.1%</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21,886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24.2%</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66,193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13,799</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77,902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0.2%</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17,443</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w:t>
            </w:r>
          </w:p>
        </w:tc>
      </w:tr>
    </w:tbl>
    <w:p>
      <w:pPr>
        <w:spacing w:after="80"/>
      </w:pPr>
    </w:p>
    <w:p>
      <w:pPr>
        <w:spacing w:before="120" w:after="40"/>
      </w:pPr>
      <w:r>
        <w:rPr>
          <w:b/>
          <w:i/>
          <w:color w:val="2E7D32"/>
          <w:sz w:val="17"/>
        </w:rPr>
        <w:t>Tabel 4.5: Bedah Anomali Lonjakan Korban Terdampak (Jiwa)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Anomali</w:t>
            </w:r>
          </w:p>
        </w:tc>
        <w:tc>
          <w:tcPr>
            <w:tcW w:type="dxa" w:w="85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Korban Jiwa</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Kasus Utama</w:t>
            </w:r>
          </w:p>
        </w:tc>
      </w:tr>
      <w:tr>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Jiwa 1</w:t>
            </w:r>
          </w:p>
        </w:tc>
        <w:tc>
          <w:tcPr>
            <w:tcW w:type="dxa" w:w="85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37,000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Koalisi Selamatkan Pulau Wawoni</w:t>
            </w:r>
          </w:p>
        </w:tc>
      </w:tr>
      <w:tr>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Jiwa 2</w:t>
            </w:r>
          </w:p>
        </w:tc>
        <w:tc>
          <w:tcPr>
            <w:tcW w:type="dxa" w:w="85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13,936</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Masyarakat Tumpang Pitu dengan PT BSI</w:t>
            </w:r>
          </w:p>
        </w:tc>
      </w:tr>
    </w:tbl>
    <w:p>
      <w:pPr>
        <w:spacing w:after="80"/>
      </w:pPr>
    </w:p>
    <w:p>
      <w:pPr>
        <w:spacing w:before="120" w:after="40"/>
      </w:pPr>
      <w:r>
        <w:rPr>
          <w:b/>
          <w:i/>
          <w:color w:val="2E7D32"/>
          <w:sz w:val="17"/>
        </w:rPr>
        <w:t>Tabel 4.6: Bedah Anomali Monopoli Area Konflik (Hektar)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Anomali</w:t>
            </w:r>
          </w:p>
        </w:tc>
        <w:tc>
          <w:tcPr>
            <w:tcW w:type="dxa" w:w="85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Ha</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Kasus Utama</w:t>
            </w:r>
          </w:p>
        </w:tc>
      </w:tr>
      <w:tr>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Area 1</w:t>
            </w:r>
          </w:p>
        </w:tc>
        <w:tc>
          <w:tcPr>
            <w:tcW w:type="dxa" w:w="85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146,201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Desa Boddia dengan Pertambangan Pasir Laut PT. Boskalis dan PT. Jan De Nul</w:t>
            </w:r>
          </w:p>
        </w:tc>
      </w:tr>
      <w:tr>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Area 2</w:t>
            </w:r>
          </w:p>
        </w:tc>
        <w:tc>
          <w:tcPr>
            <w:tcW w:type="dxa" w:w="85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86,758</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Koalisi Selamatkan Pulau Wawoni</w:t>
            </w:r>
          </w:p>
        </w:tc>
      </w:tr>
    </w:tbl>
    <w:p>
      <w:pPr>
        <w:spacing w:after="80"/>
      </w:pPr>
    </w:p>
    <w:p>
      <w:pPr>
        <w:spacing w:before="160" w:after="40"/>
      </w:pPr>
      <w:r>
        <w:rPr>
          <w:b/>
          <w:i w:val="0"/>
          <w:color w:val="2E7D32"/>
          <w:sz w:val="19"/>
        </w:rPr>
        <w:t>E. Analisis Temuan Empiris: Asimetri Dampak Sosial dan Penguasaan Ruang</w:t>
      </w:r>
    </w:p>
    <w:p>
      <w:pPr>
        <w:spacing w:after="100"/>
        <w:jc w:val="both"/>
      </w:pPr>
      <w:r>
        <w:rPr>
          <w:b w:val="0"/>
          <w:i w:val="0"/>
          <w:color w:val="222222"/>
          <w:sz w:val="19"/>
        </w:rPr>
        <w:t xml:space="preserve">Matriks dampak sektoral menunjukkan bahwa sektor Pertambangan menjadi penyumbang utama korban terdampak sekaligus sektor dengan luas sengketa terbesar. Dengan demikian, dinamika konflik tidak hanya perlu dibaca dari jumlah kasus, tetapi juga dari skala korban dan luas ruang hidup yang diperebutkan. </w:t>
      </w:r>
      <w:r>
        <w:rPr>
          <w:b w:val="0"/>
          <w:i w:val="0"/>
          <w:color w:val="222222"/>
          <w:sz w:val="19"/>
        </w:rPr>
        <w:t>Bedah anomali tahunan memperlihatkan tahun-tahun tertentu sebagai titik lonjakan ekstrem yang mendorong grafik korban dan area konflik.</w:t>
      </w:r>
    </w:p>
    <w:p>
      <w:pPr>
        <w:spacing w:before="240" w:after="80"/>
        <w:pBdr>
          <w:bottom w:val="single" w:sz="6" w:space="2" w:color="2E7D32"/>
        </w:pBdr>
      </w:pPr>
      <w:r>
        <w:rPr>
          <w:b/>
          <w:i w:val="0"/>
          <w:color w:val="2E7D32"/>
          <w:sz w:val="22"/>
        </w:rPr>
        <w:t>4.3 INDIKASI REPRESI DAN KRIMINALISASI DALAM KONFLIK AGRARIA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Represi dan Kriminalisasi: data/processed/sulawesi_konflik_agraria_tanahkita.csv. Visualisasi dashboard menggunakan Analisis Agregat Kasus Represi &amp; Pelanggaran HAM untuk menghitung indikasi kriminalisasi, korban ditangkap, luka-luka, dan tewas.</w:t>
      </w:r>
    </w:p>
    <w:p>
      <w:pPr>
        <w:spacing w:before="160" w:after="40"/>
      </w:pPr>
      <w:r>
        <w:rPr>
          <w:b/>
          <w:i w:val="0"/>
          <w:color w:val="2E7D32"/>
          <w:sz w:val="19"/>
        </w:rPr>
        <w:t>A. Pengantar &amp; Kerangka Narasi</w:t>
      </w:r>
    </w:p>
    <w:p>
      <w:pPr>
        <w:spacing w:after="100"/>
        <w:jc w:val="both"/>
      </w:pPr>
      <w:r>
        <w:rPr>
          <w:b w:val="0"/>
          <w:i w:val="0"/>
          <w:color w:val="222222"/>
          <w:sz w:val="19"/>
        </w:rPr>
        <w:t xml:space="preserve">Data kuantitatif di wilayah Sulawesi mencatat indikasi terjadinya represi dan tindakan kriminalisasi dalam sebagian sengketa agraria. Dari database yang didokumentasikan, terdapat 46 kasus indikasi kriminalisasi dan 93 warga/aktivis lingkungan yang tercatat pernah ditangkap dalam penanganan sengketa lahan. </w:t>
      </w:r>
      <w:r>
        <w:rPr>
          <w:b w:val="0"/>
          <w:i w:val="0"/>
          <w:color w:val="222222"/>
          <w:sz w:val="19"/>
        </w:rPr>
        <w:t>Berdasarkan distribusi sektoral, Sektor Pertambangan mencatatkan frekuensi indikasi represi tertinggi dengan 17 kasus. Tahun dengan jumlah catatan insiden represi tertinggi adalah 2017 dengan 7 kasus.</w:t>
      </w:r>
    </w:p>
    <w:p>
      <w:pPr>
        <w:spacing w:before="160" w:after="40"/>
      </w:pPr>
      <w:r>
        <w:rPr>
          <w:b/>
          <w:i w:val="0"/>
          <w:color w:val="2E7D32"/>
          <w:sz w:val="19"/>
        </w:rPr>
        <w:t>B. Alur Logika Metodologis Analisis Agregat Kasus Represi &amp; Pelanggaran HAM</w:t>
      </w:r>
    </w:p>
    <w:p>
      <w:pPr>
        <w:spacing w:after="100"/>
        <w:jc w:val="both"/>
      </w:pPr>
      <w:r>
        <w:rPr>
          <w:b w:val="0"/>
          <w:i w:val="0"/>
          <w:color w:val="222222"/>
          <w:sz w:val="19"/>
        </w:rPr>
        <w:t xml:space="preserve">Kerangka pemodelan indikator kekerasan, kriminalisasi, dan penyempitan ruang sipil diilustrasikan pada </w:t>
      </w:r>
      <w:r>
        <w:rPr>
          <w:b/>
          <w:i w:val="0"/>
          <w:color w:val="222222"/>
          <w:sz w:val="19"/>
        </w:rPr>
        <w:t>Bagan Alur 4.3</w:t>
      </w:r>
      <w:r>
        <w:rPr>
          <w:b w:val="0"/>
          <w:i w:val="0"/>
          <w:color w:val="222222"/>
          <w:sz w:val="19"/>
        </w:rPr>
        <w:t xml:space="preserve"> berikut. Sub-bab ini tidak menggunakan uji inferensial Chi-Square, melainkan agregasi kasus represi dan fatalitas.</w:t>
      </w:r>
    </w:p>
    <w:p>
      <w:pPr>
        <w:spacing w:before="120" w:after="40"/>
      </w:pPr>
      <w:r>
        <w:rPr>
          <w:b/>
          <w:i/>
          <w:color w:val="2E7D32"/>
          <w:sz w:val="17"/>
        </w:rPr>
        <w:t>Bagan Alur 4.3: Alur Logika Metodologis Analisis Represi dan Kriminalisasi</w:t>
      </w:r>
    </w:p>
    <w:p>
      <w:pPr>
        <w:jc w:val="center"/>
      </w:pPr>
      <w:r>
        <w:drawing>
          <wp:inline xmlns:a="http://schemas.openxmlformats.org/drawingml/2006/main" xmlns:pic="http://schemas.openxmlformats.org/drawingml/2006/picture">
            <wp:extent cx="5400000" cy="1410448"/>
            <wp:docPr id="3" name="Picture 3"/>
            <wp:cNvGraphicFramePr>
              <a:graphicFrameLocks noChangeAspect="1"/>
            </wp:cNvGraphicFramePr>
            <a:graphic>
              <a:graphicData uri="http://schemas.openxmlformats.org/drawingml/2006/picture">
                <pic:pic>
                  <pic:nvPicPr>
                    <pic:cNvPr id="0" name="mermaid_flowchart_4_3.png"/>
                    <pic:cNvPicPr/>
                  </pic:nvPicPr>
                  <pic:blipFill>
                    <a:blip r:embed="rId11"/>
                    <a:stretch>
                      <a:fillRect/>
                    </a:stretch>
                  </pic:blipFill>
                  <pic:spPr>
                    <a:xfrm>
                      <a:off x="0" y="0"/>
                      <a:ext cx="5400000" cy="1410448"/>
                    </a:xfrm>
                    <a:prstGeom prst="rect"/>
                  </pic:spPr>
                </pic:pic>
              </a:graphicData>
            </a:graphic>
          </wp:inline>
        </w:drawing>
      </w:r>
    </w:p>
    <w:p>
      <w:pPr>
        <w:spacing w:before="160" w:after="40"/>
      </w:pPr>
      <w:r>
        <w:rPr>
          <w:b/>
          <w:i w:val="0"/>
          <w:color w:val="2E7D32"/>
          <w:sz w:val="19"/>
        </w:rPr>
        <w:t>C. Formulasi Matematis: Kriminalisasi dan Korban Represi</w:t>
      </w:r>
    </w:p>
    <w:p>
      <w:pPr>
        <w:spacing w:after="100"/>
        <w:jc w:val="both"/>
      </w:pPr>
      <w:r>
        <w:rPr>
          <w:b w:val="0"/>
          <w:i w:val="0"/>
          <w:color w:val="222222"/>
          <w:sz w:val="19"/>
        </w:rPr>
        <w:t>Jumlah insiden kriminalisasi dan korban represi fisik dihitung menggunakan sistem formulasi matematis berikut:</w:t>
      </w:r>
    </w:p>
    <w:p>
      <w:pPr>
        <w:spacing w:before="120" w:after="20"/>
      </w:pPr>
      <w:r>
        <w:rPr>
          <w:b/>
          <w:i/>
          <w:color w:val="2E7D32"/>
          <w:sz w:val="17"/>
        </w:rPr>
        <w:t>Persamaan: Total Kasus Kriminalisasi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K_krim = Σ I_i, untuk setiap kasus i dengan indikasi kriminalisasi</w:t>
      </w:r>
    </w:p>
    <w:p>
      <w:pPr>
        <w:spacing w:before="40" w:after="120"/>
        <w:ind w:left="280"/>
      </w:pPr>
      <w:r>
        <w:rPr>
          <w:b/>
          <w:i/>
          <w:color w:val="333333"/>
          <w:sz w:val="16"/>
        </w:rPr>
        <w:t>Keterangan Variabel:</w:t>
        <w:br/>
      </w:r>
      <w:r>
        <w:rPr>
          <w:b/>
          <w:i w:val="0"/>
          <w:color w:val="1B5E20"/>
          <w:sz w:val="16"/>
        </w:rPr>
        <w:t xml:space="preserve">- K_krim: </w:t>
      </w:r>
      <w:r>
        <w:rPr>
          <w:b w:val="0"/>
          <w:i w:val="0"/>
          <w:color w:val="444444"/>
          <w:sz w:val="16"/>
        </w:rPr>
        <w:t>Total kasus dengan indikasi kriminalisasi.</w:t>
        <w:br/>
      </w:r>
      <w:r>
        <w:rPr>
          <w:b/>
          <w:i w:val="0"/>
          <w:color w:val="1B5E20"/>
          <w:sz w:val="16"/>
        </w:rPr>
        <w:t xml:space="preserve">- I_i: </w:t>
      </w:r>
      <w:r>
        <w:rPr>
          <w:b w:val="0"/>
          <w:i w:val="0"/>
          <w:color w:val="444444"/>
          <w:sz w:val="16"/>
        </w:rPr>
        <w:t>Indikator kasus ke-i; bernilai 1 jika indikasi kriminalisasi = benar, dan 0 jika tidak.</w:t>
      </w:r>
    </w:p>
    <w:p>
      <w:pPr>
        <w:spacing w:before="120" w:after="20"/>
      </w:pPr>
      <w:r>
        <w:rPr>
          <w:b/>
          <w:i/>
          <w:color w:val="2E7D32"/>
          <w:sz w:val="17"/>
        </w:rPr>
        <w:t>Persamaan: Total Korban Represi Fisik</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 = Σ ( D_i + L_i + T_i )</w:t>
      </w:r>
    </w:p>
    <w:p>
      <w:pPr>
        <w:spacing w:before="40" w:after="120"/>
        <w:ind w:left="280"/>
      </w:pPr>
      <w:r>
        <w:rPr>
          <w:b/>
          <w:i/>
          <w:color w:val="333333"/>
          <w:sz w:val="16"/>
        </w:rPr>
        <w:t>Keterangan Variabel:</w:t>
        <w:br/>
      </w:r>
      <w:r>
        <w:rPr>
          <w:b/>
          <w:i w:val="0"/>
          <w:color w:val="1B5E20"/>
          <w:sz w:val="16"/>
        </w:rPr>
        <w:t xml:space="preserve">- R: </w:t>
      </w:r>
      <w:r>
        <w:rPr>
          <w:b w:val="0"/>
          <w:i w:val="0"/>
          <w:color w:val="444444"/>
          <w:sz w:val="16"/>
        </w:rPr>
        <w:t>Total korban represi fisik yang terdokumentasi.</w:t>
        <w:br/>
      </w:r>
      <w:r>
        <w:rPr>
          <w:b/>
          <w:i w:val="0"/>
          <w:color w:val="1B5E20"/>
          <w:sz w:val="16"/>
        </w:rPr>
        <w:t xml:space="preserve">- D_i: </w:t>
      </w:r>
      <w:r>
        <w:rPr>
          <w:b w:val="0"/>
          <w:i w:val="0"/>
          <w:color w:val="444444"/>
          <w:sz w:val="16"/>
        </w:rPr>
        <w:t>Jumlah warga/aktivis ditangkap pada kasus i.</w:t>
        <w:br/>
      </w:r>
      <w:r>
        <w:rPr>
          <w:b/>
          <w:i w:val="0"/>
          <w:color w:val="1B5E20"/>
          <w:sz w:val="16"/>
        </w:rPr>
        <w:t xml:space="preserve">- L_i: </w:t>
      </w:r>
      <w:r>
        <w:rPr>
          <w:b w:val="0"/>
          <w:i w:val="0"/>
          <w:color w:val="444444"/>
          <w:sz w:val="16"/>
        </w:rPr>
        <w:t>Jumlah korban luka pada kasus i.</w:t>
        <w:br/>
      </w:r>
      <w:r>
        <w:rPr>
          <w:b/>
          <w:i w:val="0"/>
          <w:color w:val="1B5E20"/>
          <w:sz w:val="16"/>
        </w:rPr>
        <w:t xml:space="preserve">- T_i: </w:t>
      </w:r>
      <w:r>
        <w:rPr>
          <w:b w:val="0"/>
          <w:i w:val="0"/>
          <w:color w:val="444444"/>
          <w:sz w:val="16"/>
        </w:rPr>
        <w:t>Jumlah korban tewas pada kasus i.</w:t>
      </w:r>
    </w:p>
    <w:p>
      <w:pPr>
        <w:spacing w:before="120" w:after="20"/>
      </w:pPr>
      <w:r>
        <w:rPr>
          <w:b/>
          <w:i/>
          <w:color w:val="2E7D32"/>
          <w:sz w:val="17"/>
        </w:rPr>
        <w:t>Persamaan: Substitusi Korban Represi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 = 93 + 4 + 1 = 98 orang</w:t>
      </w:r>
    </w:p>
    <w:p>
      <w:pPr>
        <w:spacing w:before="160" w:after="40"/>
      </w:pPr>
      <w:r>
        <w:rPr>
          <w:b/>
          <w:i w:val="0"/>
          <w:color w:val="2E7D32"/>
          <w:sz w:val="19"/>
        </w:rPr>
        <w:t>D. Matriks Hasil Uji Empiris: Tren Represi dan Arsip Kekerasan</w:t>
      </w:r>
    </w:p>
    <w:p>
      <w:pPr>
        <w:spacing w:after="100"/>
        <w:jc w:val="both"/>
      </w:pPr>
      <w:r>
        <w:rPr>
          <w:b w:val="0"/>
          <w:i w:val="0"/>
          <w:color w:val="222222"/>
          <w:sz w:val="19"/>
        </w:rPr>
        <w:t>Metrik agregat represi dan kriminalisasi disajikan pada Tabel 4.7 berikut:</w:t>
      </w:r>
    </w:p>
    <w:p>
      <w:pPr>
        <w:spacing w:before="120" w:after="40"/>
      </w:pPr>
      <w:r>
        <w:rPr>
          <w:b/>
          <w:i/>
          <w:color w:val="2E7D32"/>
          <w:sz w:val="17"/>
        </w:rPr>
        <w:t>Tabel 4.7: Metrik Agregat Represi dan Kriminalisasi</w:t>
      </w:r>
    </w:p>
    <w:tbl>
      <w:tblPr>
        <w:tblStyle w:val="TableGrid"/>
        <w:tblW w:type="auto" w:w="0"/>
        <w:jc w:val="center"/>
        <w:tblLayout w:type="fixed"/>
        <w:tblLook w:firstColumn="1" w:firstRow="1" w:lastColumn="0" w:lastRow="0" w:noHBand="0" w:noVBand="1" w:val="04A0"/>
      </w:tblPr>
      <w:tblGrid>
        <w:gridCol w:w="4819"/>
        <w:gridCol w:w="4819"/>
      </w:tblGrid>
      <w:tr>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Nilai</w:t>
            </w:r>
          </w:p>
        </w:tc>
      </w:tr>
      <w:tr>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Indikasi Kriminalisasi</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r>
      <w:tr>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Warga/Aktivis Ditangkap</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w:t>
            </w:r>
          </w:p>
        </w:tc>
      </w:tr>
      <w:tr>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Korban Luka-luka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Korban Tewas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20" w:after="40"/>
      </w:pPr>
      <w:r>
        <w:rPr>
          <w:b/>
          <w:i/>
          <w:color w:val="2E7D32"/>
          <w:sz w:val="17"/>
        </w:rPr>
        <w:t>Tabel 4.8: Tren Kasus Kriminalisasi dan Represi Pasca-2000</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Kasus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2008</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4.9: Sektor Industri Paling Represif</w:t>
      </w:r>
    </w:p>
    <w:tbl>
      <w:tblPr>
        <w:tblStyle w:val="TableGrid"/>
        <w:tblW w:type="auto" w:w="0"/>
        <w:jc w:val="center"/>
        <w:tblLayout w:type="fixed"/>
        <w:tblLook w:firstColumn="1" w:firstRow="1" w:lastColumn="0" w:lastRow="0" w:noHBand="0" w:noVBand="1" w:val="04A0"/>
      </w:tblPr>
      <w:tblGrid>
        <w:gridCol w:w="4819"/>
        <w:gridCol w:w="4819"/>
      </w:tblGrid>
      <w:tr>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Kasus Kriminalisasi</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17</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4.10: Arsip Kasus Represi dan Kekerasan Fisik Tertinggi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Perusahaan Terlibat</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Ditangkap</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Tewas</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Narasi Singkat</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Hutan Konservasi TWA Nanggala III sebelumnya merupakan Kawasan Hutan Lindung yang ditunjuk berdasarkan Tata Guna Hutan Kesepakatan (TGHK).</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Bina Mulia Ternak</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Perkebunan Nusantara (PTPN) XIV dituntut segera mengembalikan lahan warga Kecamatan Keera, Kabupaten Wajo, Sulawesi Selatan (Sulsel), sesuai kesepakatan bersama di Kantor Mar...</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Wirakarya Sakti , SInarmas Forestry , Asia Pulp and Paper</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yang terjadi di Desa Lubuk Mandarsah mengarah ke proses penyelesaian, pasca Terbunuhnya Indra Pelani Pada Tahun 2015 hingga sekarang masyarakat masih bertahan dan belum ...</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Nasib masyarakat adat Barambang Katute, di Desa Bonto Katute, Kecamatan Sinjai Borong, Kabupaten Sinjai, Sulawesi Selatan (Sulsel), makin tak menentu. Setelah didera teror penan...</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Galena Sumber Energi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Gema Kreasi Perdana (GKP)</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Keberadaan PT Gema Kreasi Perdana (GKP), anak perusahaan Harita Group, di Pulau Wawonii, Kabupaten Konawe Kepulauan, Sulawesi Tenggara mengancam keselamatan warga, menggusur lah...</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Bahtiar bin Sabang adalah salah satu korban kriminalisasi karena dituduh menebang pohon di atas tanahnya sendiri yang diklim oleh Kehutanan Sebagai Kawasan Hutan Produksi Terbatas</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Bumi Suksindo , PT. Merdeka Copper Gold</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Gunung Tumpang Pitu yang masuk wilayah Desa Sumberagung, Kecamatan Pesanggaran, Kabupaten Banyuwangi, Jawa Timur, merupakan lokasi tambang emas dari PT Bumi Suksindo ( PT BSI) s...</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Trio Kencana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Penolakan dilakukan karena warga khawatir sumber air bersih mereka yang masuk ke wilayah konsesi tambang akan hilang. Warga akhirnya berunjuk rasa memblokade jalan dan terjadi p...</w:t>
            </w:r>
          </w:p>
        </w:tc>
      </w:tr>
    </w:tbl>
    <w:p>
      <w:pPr>
        <w:spacing w:after="80"/>
      </w:pPr>
    </w:p>
    <w:p>
      <w:pPr>
        <w:spacing w:before="160" w:after="40"/>
      </w:pPr>
      <w:r>
        <w:rPr>
          <w:b/>
          <w:i w:val="0"/>
          <w:color w:val="2E7D32"/>
          <w:sz w:val="19"/>
        </w:rPr>
        <w:t>E. Analisis Temuan Empiris: Penyempitan Ruang Sipil dan Risiko HAM</w:t>
      </w:r>
    </w:p>
    <w:p>
      <w:pPr>
        <w:spacing w:after="100"/>
        <w:jc w:val="both"/>
      </w:pPr>
      <w:r>
        <w:rPr>
          <w:b w:val="0"/>
          <w:i w:val="0"/>
          <w:color w:val="222222"/>
          <w:sz w:val="19"/>
        </w:rPr>
        <w:t xml:space="preserve">Keberadaan kasus kriminalisasi di sekitar area konsesi, terutama pada sektor Pertambangan, mengindikasikan pentingnya jaminan perlindungan ruang sipil dan penghormatan HAM dalam setiap proses pembangunan. </w:t>
      </w:r>
      <w:r>
        <w:rPr>
          <w:b w:val="0"/>
          <w:i w:val="0"/>
          <w:color w:val="222222"/>
          <w:sz w:val="19"/>
        </w:rPr>
        <w:t>Catatan ini menunjukkan perlunya pendekatan hukum yang adil, penyelesaian konflik secara ramah HAM, serta perlindungan bagi pejuang lingkungan dan komunitas lokal.</w:t>
      </w:r>
    </w:p>
    <w:p>
      <w:pPr>
        <w:spacing w:before="240" w:after="80"/>
        <w:pBdr>
          <w:bottom w:val="single" w:sz="6" w:space="2" w:color="2E7D32"/>
        </w:pBdr>
      </w:pPr>
      <w:r>
        <w:rPr>
          <w:b/>
          <w:i w:val="0"/>
          <w:color w:val="2E7D32"/>
          <w:sz w:val="22"/>
        </w:rPr>
        <w:t>4.4 PEMBUKTIAN STATISTIK: EKSPANSI VS ESKALASI KONFLIK</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Base Data Cross-Section: data/processed/sulawesi_konflik_agraria_tanahkita.csv. Visualisasi dashboard menggunakan Before-After Analysis &amp; Crosstabulation untuk menguji hubungan antara indikator ekspansi dan eskalasi konflik.</w:t>
      </w:r>
    </w:p>
    <w:p>
      <w:pPr>
        <w:spacing w:before="160" w:after="40"/>
      </w:pPr>
      <w:r>
        <w:rPr>
          <w:b/>
          <w:i w:val="0"/>
          <w:color w:val="2E7D32"/>
          <w:sz w:val="19"/>
        </w:rPr>
        <w:t>A. Pengantar &amp; Kerangka Narasi</w:t>
      </w:r>
    </w:p>
    <w:p>
      <w:pPr>
        <w:spacing w:after="100"/>
        <w:jc w:val="both"/>
      </w:pPr>
      <w:r>
        <w:rPr>
          <w:b w:val="0"/>
          <w:i w:val="0"/>
          <w:color w:val="222222"/>
          <w:sz w:val="19"/>
        </w:rPr>
        <w:t xml:space="preserve">Hipotesis utama dalam evaluasi ini adalah bahwa industrialisasi dan ekspansi korporasi berbanding lurus dengan eskalasi konflik dan represi terhadap masyarakat. </w:t>
      </w:r>
      <w:r>
        <w:rPr>
          <w:b w:val="0"/>
          <w:i w:val="0"/>
          <w:color w:val="222222"/>
          <w:sz w:val="19"/>
        </w:rPr>
        <w:t>Analisis dibagi menjadi dua bagian: komparasi metrik Before-After dan uji signifikansi Crosstab Chi-Square. Unit observasinya adalah catatan kejadian letupan konflik historis.</w:t>
      </w:r>
    </w:p>
    <w:p>
      <w:pPr>
        <w:spacing w:before="160" w:after="40"/>
      </w:pPr>
      <w:r>
        <w:rPr>
          <w:b/>
          <w:i w:val="0"/>
          <w:color w:val="2E7D32"/>
          <w:sz w:val="19"/>
        </w:rPr>
        <w:t>B. Alur Logika Metodologis Before-After Analysis &amp; Crosstabulation</w:t>
      </w:r>
    </w:p>
    <w:p>
      <w:pPr>
        <w:spacing w:after="100"/>
        <w:jc w:val="both"/>
      </w:pPr>
      <w:r>
        <w:rPr>
          <w:b w:val="0"/>
          <w:i w:val="0"/>
          <w:color w:val="222222"/>
          <w:sz w:val="19"/>
        </w:rPr>
        <w:t xml:space="preserve">Kerangka komparasi pra/pasca ekspansi serta tabulasi silang indikator konflik diilustrasikan pada </w:t>
      </w:r>
      <w:r>
        <w:rPr>
          <w:b/>
          <w:i w:val="0"/>
          <w:color w:val="222222"/>
          <w:sz w:val="19"/>
        </w:rPr>
        <w:t>Bagan Alur 4.4</w:t>
      </w:r>
      <w:r>
        <w:rPr>
          <w:b w:val="0"/>
          <w:i w:val="0"/>
          <w:color w:val="222222"/>
          <w:sz w:val="19"/>
        </w:rPr>
        <w:t xml:space="preserve"> berikut. Konfigurasi variabel uji Chi-Square dirinci pada Tabel 4.4a di bawah gambar.</w:t>
      </w:r>
    </w:p>
    <w:p>
      <w:pPr>
        <w:spacing w:before="120" w:after="40"/>
      </w:pPr>
      <w:r>
        <w:rPr>
          <w:b/>
          <w:i/>
          <w:color w:val="2E7D32"/>
          <w:sz w:val="17"/>
        </w:rPr>
        <w:t>Bagan Alur 4.4: Alur Logika Metodologis Before-After Analysis &amp; Crosstabulation</w:t>
      </w:r>
    </w:p>
    <w:p>
      <w:pPr>
        <w:jc w:val="center"/>
      </w:pPr>
      <w:r>
        <w:drawing>
          <wp:inline xmlns:a="http://schemas.openxmlformats.org/drawingml/2006/main" xmlns:pic="http://schemas.openxmlformats.org/drawingml/2006/picture">
            <wp:extent cx="5400000" cy="2304221"/>
            <wp:docPr id="4" name="Picture 4"/>
            <wp:cNvGraphicFramePr>
              <a:graphicFrameLocks noChangeAspect="1"/>
            </wp:cNvGraphicFramePr>
            <a:graphic>
              <a:graphicData uri="http://schemas.openxmlformats.org/drawingml/2006/picture">
                <pic:pic>
                  <pic:nvPicPr>
                    <pic:cNvPr id="0" name="mermaid_flowchart_4_4.png"/>
                    <pic:cNvPicPr/>
                  </pic:nvPicPr>
                  <pic:blipFill>
                    <a:blip r:embed="rId12"/>
                    <a:stretch>
                      <a:fillRect/>
                    </a:stretch>
                  </pic:blipFill>
                  <pic:spPr>
                    <a:xfrm>
                      <a:off x="0" y="0"/>
                      <a:ext cx="5400000" cy="2304221"/>
                    </a:xfrm>
                    <a:prstGeom prst="rect"/>
                  </pic:spPr>
                </pic:pic>
              </a:graphicData>
            </a:graphic>
          </wp:inline>
        </w:drawing>
      </w:r>
    </w:p>
    <w:p>
      <w:pPr>
        <w:spacing w:before="120" w:after="40"/>
      </w:pPr>
      <w:r>
        <w:rPr>
          <w:b/>
          <w:i/>
          <w:color w:val="2E7D32"/>
          <w:sz w:val="17"/>
        </w:rPr>
        <w:t>Tabel 4.4a: Konfigurasi Variabel Uji Chi-Square (Sub-bab 4.4)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4.4)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Matriks Ekspansi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Ekspansi Industri; Tipe Sektor (Tambang vs Non-Tambang); Keterlibatan Aparat/Pemerintah.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Matriks Eskalasi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Represi &amp; Kriminalisasi; Tingkat Penelantaran Kasus; Tingkat Insiden Fisik.</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baris (Periode/Aktor) saling bebas secara absolut terhadap variabel kolom (Represi/Kematian).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Chi-Square P-Value &lt; 0.05, maka tolak H0 dan terdapat korelasi signifikan.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Unit Observasi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kejadian letupan konflik historis sejak 1990 (N=523).</w:t>
            </w:r>
          </w:p>
        </w:tc>
      </w:tr>
    </w:tbl>
    <w:p>
      <w:pPr>
        <w:spacing w:after="80"/>
      </w:pPr>
    </w:p>
    <w:p>
      <w:pPr>
        <w:spacing w:before="160" w:after="40"/>
      </w:pPr>
      <w:r>
        <w:rPr>
          <w:b/>
          <w:i w:val="0"/>
          <w:color w:val="2E7D32"/>
          <w:sz w:val="19"/>
        </w:rPr>
        <w:t>C. Formulasi Matematis: Before-After, Chi-Square, dan Odds Ratio</w:t>
      </w:r>
    </w:p>
    <w:p>
      <w:pPr>
        <w:spacing w:after="100"/>
        <w:jc w:val="both"/>
      </w:pPr>
      <w:r>
        <w:rPr>
          <w:b w:val="0"/>
          <w:i w:val="0"/>
          <w:color w:val="222222"/>
          <w:sz w:val="19"/>
        </w:rPr>
        <w:t>Komparasi periode dan pengujian statistik dihitung menggunakan sistem formulasi matematis berikut:</w:t>
      </w:r>
    </w:p>
    <w:p>
      <w:pPr>
        <w:spacing w:before="120" w:after="20"/>
      </w:pPr>
      <w:r>
        <w:rPr>
          <w:b/>
          <w:i/>
          <w:color w:val="2E7D32"/>
          <w:sz w:val="17"/>
        </w:rPr>
        <w:t>Persamaan: Rata-rata Konflik per Tahun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K̄_p = N_p / T_p</w:t>
      </w:r>
    </w:p>
    <w:p>
      <w:pPr>
        <w:spacing w:before="40" w:after="120"/>
        <w:ind w:left="280"/>
      </w:pPr>
      <w:r>
        <w:rPr>
          <w:b/>
          <w:i/>
          <w:color w:val="333333"/>
          <w:sz w:val="16"/>
        </w:rPr>
        <w:t>Keterangan Variabel:</w:t>
        <w:br/>
      </w:r>
      <w:r>
        <w:rPr>
          <w:b/>
          <w:i w:val="0"/>
          <w:color w:val="1B5E20"/>
          <w:sz w:val="16"/>
        </w:rPr>
        <w:t xml:space="preserve">- K̄_p: </w:t>
      </w:r>
      <w:r>
        <w:rPr>
          <w:b w:val="0"/>
          <w:i w:val="0"/>
          <w:color w:val="444444"/>
          <w:sz w:val="16"/>
        </w:rPr>
        <w:t>Rata-rata kasus konflik per tahun pada periode p.</w:t>
        <w:br/>
      </w:r>
      <w:r>
        <w:rPr>
          <w:b/>
          <w:i w:val="0"/>
          <w:color w:val="1B5E20"/>
          <w:sz w:val="16"/>
        </w:rPr>
        <w:t xml:space="preserve">- N_p: </w:t>
      </w:r>
      <w:r>
        <w:rPr>
          <w:b w:val="0"/>
          <w:i w:val="0"/>
          <w:color w:val="444444"/>
          <w:sz w:val="16"/>
        </w:rPr>
        <w:t>Total letupan konflik pada periode p.</w:t>
        <w:br/>
      </w:r>
      <w:r>
        <w:rPr>
          <w:b/>
          <w:i w:val="0"/>
          <w:color w:val="1B5E20"/>
          <w:sz w:val="16"/>
        </w:rPr>
        <w:t xml:space="preserve">- T_p: </w:t>
      </w:r>
      <w:r>
        <w:rPr>
          <w:b w:val="0"/>
          <w:i w:val="0"/>
          <w:color w:val="444444"/>
          <w:sz w:val="16"/>
        </w:rPr>
        <w:t>Jumlah tahun observasi pada periode p.</w:t>
      </w:r>
    </w:p>
    <w:p>
      <w:pPr>
        <w:spacing w:before="120" w:after="20"/>
      </w:pPr>
      <w:r>
        <w:rPr>
          <w:b/>
          <w:i/>
          <w:color w:val="2E7D32"/>
          <w:sz w:val="17"/>
        </w:rPr>
        <w:t>Persamaan: Substitusi Before-After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K̄_Pra = 37 / 18 = 2.1; K̄_Pasca = 55 / 10 = 5.5</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w:t>
      </w:r>
    </w:p>
    <w:p>
      <w:pPr>
        <w:spacing w:before="40" w:after="120"/>
        <w:ind w:left="280"/>
      </w:pPr>
      <w:r>
        <w:rPr>
          <w:b/>
          <w:i/>
          <w:color w:val="333333"/>
          <w:sz w:val="16"/>
        </w:rPr>
        <w:t>Keterangan Variabel:</w:t>
        <w:br/>
      </w:r>
      <w:r>
        <w:rPr>
          <w:b/>
          <w:i w:val="0"/>
          <w:color w:val="1B5E20"/>
          <w:sz w:val="16"/>
        </w:rPr>
        <w:t xml:space="preserve">- O_ij: </w:t>
      </w:r>
      <w:r>
        <w:rPr>
          <w:b w:val="0"/>
          <w:i w:val="0"/>
          <w:color w:val="444444"/>
          <w:sz w:val="16"/>
        </w:rPr>
        <w:t>Frekuensi observasi pada sel baris i dan kolom j.</w:t>
        <w:br/>
      </w:r>
      <w:r>
        <w:rPr>
          <w:b/>
          <w:i w:val="0"/>
          <w:color w:val="1B5E20"/>
          <w:sz w:val="16"/>
        </w:rPr>
        <w:t xml:space="preserve">- E_ij: </w:t>
      </w:r>
      <w:r>
        <w:rPr>
          <w:b w:val="0"/>
          <w:i w:val="0"/>
          <w:color w:val="444444"/>
          <w:sz w:val="16"/>
        </w:rPr>
        <w:t>Frekuensi harapan jika variabel X dan Y saling independen.</w:t>
      </w:r>
    </w:p>
    <w:p>
      <w:pPr>
        <w:spacing w:before="120" w:after="20"/>
      </w:pPr>
      <w:r>
        <w:rPr>
          <w:b/>
          <w:i/>
          <w:color w:val="2E7D32"/>
          <w:sz w:val="17"/>
        </w:rPr>
        <w:t>Persamaan: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OR = ( a × d ) / ( b × c )</w:t>
      </w:r>
    </w:p>
    <w:p>
      <w:pPr>
        <w:spacing w:before="40" w:after="120"/>
        <w:ind w:left="280"/>
      </w:pPr>
      <w:r>
        <w:rPr>
          <w:b/>
          <w:i/>
          <w:color w:val="333333"/>
          <w:sz w:val="16"/>
        </w:rPr>
        <w:t>Keterangan Variabel:</w:t>
        <w:br/>
      </w:r>
      <w:r>
        <w:rPr>
          <w:b/>
          <w:i w:val="0"/>
          <w:color w:val="1B5E20"/>
          <w:sz w:val="16"/>
        </w:rPr>
        <w:t xml:space="preserve">- a,b,c,d: </w:t>
      </w:r>
      <w:r>
        <w:rPr>
          <w:b w:val="0"/>
          <w:i w:val="0"/>
          <w:color w:val="444444"/>
          <w:sz w:val="16"/>
        </w:rPr>
        <w:t>Empat sel pada tabel kontinjensi 2x2.</w:t>
      </w:r>
    </w:p>
    <w:p>
      <w:pPr>
        <w:spacing w:before="160" w:after="40"/>
      </w:pPr>
      <w:r>
        <w:rPr>
          <w:b/>
          <w:i w:val="0"/>
          <w:color w:val="2E7D32"/>
          <w:sz w:val="19"/>
        </w:rPr>
        <w:t>D. Matriks Hasil Uji Empiris: Before-After dan Skenario Crosstab</w:t>
      </w:r>
    </w:p>
    <w:p>
      <w:pPr>
        <w:spacing w:before="120" w:after="40"/>
      </w:pPr>
      <w:r>
        <w:rPr>
          <w:b/>
          <w:i/>
          <w:color w:val="2E7D32"/>
          <w:sz w:val="17"/>
        </w:rPr>
        <w:t>Tabel 4.11: Analisis Komparatif Before-After Pra vs Era Hilirisasi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Periode</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Konflik</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Tahun</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Kasus/Tahun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Ditangkap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Tewas</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Pra-Ekspansi (&lt;2014)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Pasca-Ekspansi (&gt;=2014)</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20" w:after="40"/>
      </w:pPr>
      <w:r>
        <w:rPr>
          <w:b/>
          <w:i/>
          <w:color w:val="2E7D32"/>
          <w:sz w:val="17"/>
        </w:rPr>
        <w:t>Tabel 4.12: Ringkasan Eksekutif Seluruh Skenario Crosstab Ekspansi vs Eskalasi Konflik</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87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Ekspansi Industri</w:t>
            </w:r>
          </w:p>
        </w:tc>
        <w:tc>
          <w:tcPr>
            <w:tcW w:type="dxa" w:w="187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Represi &amp; Kriminalisasi</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14.331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Ekspansi Industri</w:t>
            </w:r>
          </w:p>
        </w:tc>
        <w:tc>
          <w:tcPr>
            <w:tcW w:type="dxa" w:w="187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Penelantaran Kasus</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0.070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Ekspansi Industri</w:t>
            </w:r>
          </w:p>
        </w:tc>
        <w:tc>
          <w:tcPr>
            <w:tcW w:type="dxa" w:w="187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Insiden Fisik (Luka/Tewas/Ditangkap)</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0.104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0.53</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Tipe Sektor (Tambang vs Non-Tambang)</w:t>
            </w:r>
          </w:p>
        </w:tc>
        <w:tc>
          <w:tcPr>
            <w:tcW w:type="dxa" w:w="187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Represi &amp;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13.609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2.84</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Tipe Sektor (Tambang vs Non-Tambang)</w:t>
            </w:r>
          </w:p>
        </w:tc>
        <w:tc>
          <w:tcPr>
            <w:tcW w:type="dxa" w:w="187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Penelantaran Kasus</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4.742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1.89</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Tipe Sektor (Tambang vs Non-Tambang)</w:t>
            </w:r>
          </w:p>
        </w:tc>
        <w:tc>
          <w:tcPr>
            <w:tcW w:type="dxa" w:w="187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Insiden Fisik (Luka/Tewas/Ditangkap)</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0.415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1.66</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Keterlibatan Aparat/Pemerintah</w:t>
            </w:r>
          </w:p>
        </w:tc>
        <w:tc>
          <w:tcPr>
            <w:tcW w:type="dxa" w:w="187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Represi &amp; Kriminalisasi</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55.633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Keterlibatan Aparat/Pemerintah</w:t>
            </w:r>
          </w:p>
        </w:tc>
        <w:tc>
          <w:tcPr>
            <w:tcW w:type="dxa" w:w="187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Penelantaran Kasus</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0.287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0.81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Keterlibatan Aparat/Pemerintah</w:t>
            </w:r>
          </w:p>
        </w:tc>
        <w:tc>
          <w:tcPr>
            <w:tcW w:type="dxa" w:w="187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Tingkat Insiden Fisik (Luka/Tewas/Ditangkap)</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3.253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2.23</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Validitas Statistik Eskalasi Konflik</w:t>
      </w:r>
    </w:p>
    <w:p>
      <w:pPr>
        <w:spacing w:after="100"/>
        <w:jc w:val="both"/>
      </w:pPr>
      <w:r>
        <w:rPr>
          <w:b w:val="0"/>
          <w:i w:val="0"/>
          <w:color w:val="222222"/>
          <w:sz w:val="19"/>
        </w:rPr>
        <w:t>Dari 9 skenario pengujian, terdapat 4 skenario yang terbukti SIGNIFIKAN. Tingginya Odds Ratio pada skenario yang signifikan menegaskan bahwa ekspansi operasi industri berasosiasi dengan peningkatan risiko sengketa lahan. Skenario yang tidak signifikan mengindikasikan bahwa dinamika sengketa lahan tersebar secara merata di berbagai sektor dan kurun waktu.</w:t>
      </w:r>
    </w:p>
    <w:p>
      <w:pPr>
        <w:spacing w:before="240" w:after="80"/>
        <w:pBdr>
          <w:bottom w:val="single" w:sz="6" w:space="2" w:color="2E7D32"/>
        </w:pBdr>
      </w:pPr>
      <w:r>
        <w:rPr>
          <w:b/>
          <w:i w:val="0"/>
          <w:color w:val="2E7D32"/>
          <w:sz w:val="22"/>
        </w:rPr>
        <w:t>4.5 PETA ENTITAS AKTOR: KORPORASI DAN ORGANISASI MASYARAKAT</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Teks Bebas (Free-Text): data/processed/sulawesi_konflik_agraria_tanahkita.csv. Visualisasi dashboard menampilkan dua Horizontal Bar Chart berdampingan (Top 10 Entitas Korporasi Paling Dominan dan Top Aktor Proksi &amp; Vigilante Terdeteksi) hasil ekstraksi teks berbasis NLP Regex dari korpus narasi seluruh kasus agraria.</w:t>
      </w:r>
    </w:p>
    <w:p>
      <w:pPr>
        <w:spacing w:before="160" w:after="40"/>
      </w:pPr>
      <w:r>
        <w:rPr>
          <w:b/>
          <w:i w:val="0"/>
          <w:color w:val="2E7D32"/>
          <w:sz w:val="19"/>
        </w:rPr>
        <w:t>A. Pengantar &amp; Kerangka Narasi</w:t>
      </w:r>
    </w:p>
    <w:p>
      <w:pPr>
        <w:spacing w:after="100"/>
        <w:jc w:val="both"/>
      </w:pPr>
      <w:r>
        <w:rPr>
          <w:b w:val="0"/>
          <w:i w:val="0"/>
          <w:color w:val="222222"/>
          <w:sz w:val="19"/>
        </w:rPr>
        <w:t xml:space="preserve">Analisis entitas aktor berbasis pemrosesan teks (string parsing) terhadap catatan kronologi dokumentasi TanahKita memetakan keterlibatan berbagai pihak dalam sengketa agraria. Hasil ekstraksi teks mengidentifikasi entitas korporasi, lembaga pemerintah, serta organisasi masyarakat sipil yang tercatat dalam dokumentasi kasus. </w:t>
      </w:r>
      <w:r>
        <w:rPr>
          <w:b w:val="0"/>
          <w:i w:val="0"/>
          <w:color w:val="222222"/>
          <w:sz w:val="19"/>
        </w:rPr>
        <w:t>Korpus dibangun dari penggabungan kolom judul, deskripsi, dan narasi pada 568 kasus agraria (nasional) untuk memetakan orkestrasi struktural dan modus operandi aktor secara utuh, termasuk memvalidasi indikasi konsentrasi kekuasaan dan monopoli penguasaan ruang oleh segelintir konglomerasi besar melalui seberapa sering nama entitas muncul dalam sengketa tanah.</w:t>
      </w:r>
    </w:p>
    <w:p>
      <w:pPr>
        <w:spacing w:before="160" w:after="40"/>
      </w:pPr>
      <w:r>
        <w:rPr>
          <w:b/>
          <w:i w:val="0"/>
          <w:color w:val="2E7D32"/>
          <w:sz w:val="19"/>
        </w:rPr>
        <w:t>B. Alur Logika Metodologis Frequency Profiling (Text Parsing NLP)</w:t>
      </w:r>
    </w:p>
    <w:p>
      <w:pPr>
        <w:spacing w:after="100"/>
        <w:jc w:val="both"/>
      </w:pPr>
      <w:r>
        <w:rPr>
          <w:b w:val="0"/>
          <w:i w:val="0"/>
          <w:color w:val="222222"/>
          <w:sz w:val="19"/>
        </w:rPr>
        <w:t xml:space="preserve">Kerangka ekstraksi entitas berbasis Regular Expressions (RegEx) dan penghitungan frekuensi penyebutan diilustrasikan pada </w:t>
      </w:r>
      <w:r>
        <w:rPr>
          <w:b/>
          <w:i w:val="0"/>
          <w:color w:val="222222"/>
          <w:sz w:val="19"/>
        </w:rPr>
        <w:t>Bagan Alur 4.5</w:t>
      </w:r>
      <w:r>
        <w:rPr>
          <w:b w:val="0"/>
          <w:i w:val="0"/>
          <w:color w:val="222222"/>
          <w:sz w:val="19"/>
        </w:rPr>
        <w:t xml:space="preserve"> berikut. Sub-bab ini tidak menggunakan uji inferensial Chi-Square, melainkan Frequency Profiling deskriptif atas kemunculan entitas dalam korpus teks.</w:t>
      </w:r>
    </w:p>
    <w:p>
      <w:pPr>
        <w:spacing w:before="120" w:after="40"/>
      </w:pPr>
      <w:r>
        <w:rPr>
          <w:b/>
          <w:i/>
          <w:color w:val="2E7D32"/>
          <w:sz w:val="17"/>
        </w:rPr>
        <w:t>Bagan Alur 4.5: Alur Logika Analisis Frequency Profiling Entitas Aktor</w:t>
      </w:r>
    </w:p>
    <w:p>
      <w:pPr>
        <w:jc w:val="center"/>
      </w:pPr>
      <w:r>
        <w:drawing>
          <wp:inline xmlns:a="http://schemas.openxmlformats.org/drawingml/2006/main" xmlns:pic="http://schemas.openxmlformats.org/drawingml/2006/picture">
            <wp:extent cx="5400000" cy="995483"/>
            <wp:docPr id="5" name="Picture 5"/>
            <wp:cNvGraphicFramePr>
              <a:graphicFrameLocks noChangeAspect="1"/>
            </wp:cNvGraphicFramePr>
            <a:graphic>
              <a:graphicData uri="http://schemas.openxmlformats.org/drawingml/2006/picture">
                <pic:pic>
                  <pic:nvPicPr>
                    <pic:cNvPr id="0" name="mermaid_flowchart_4_5.png"/>
                    <pic:cNvPicPr/>
                  </pic:nvPicPr>
                  <pic:blipFill>
                    <a:blip r:embed="rId13"/>
                    <a:stretch>
                      <a:fillRect/>
                    </a:stretch>
                  </pic:blipFill>
                  <pic:spPr>
                    <a:xfrm>
                      <a:off x="0" y="0"/>
                      <a:ext cx="5400000" cy="995483"/>
                    </a:xfrm>
                    <a:prstGeom prst="rect"/>
                  </pic:spPr>
                </pic:pic>
              </a:graphicData>
            </a:graphic>
          </wp:inline>
        </w:drawing>
      </w:r>
    </w:p>
    <w:p>
      <w:pPr>
        <w:spacing w:before="160" w:after="40"/>
      </w:pPr>
      <w:r>
        <w:rPr>
          <w:b/>
          <w:i w:val="0"/>
          <w:color w:val="2E7D32"/>
          <w:sz w:val="19"/>
        </w:rPr>
        <w:t>C. Formulasi Matematis: Konstruksi Korpus dan Token Counting</w:t>
      </w:r>
    </w:p>
    <w:p>
      <w:pPr>
        <w:spacing w:after="100"/>
        <w:jc w:val="both"/>
      </w:pPr>
      <w:r>
        <w:rPr>
          <w:b w:val="0"/>
          <w:i w:val="0"/>
          <w:color w:val="222222"/>
          <w:sz w:val="19"/>
        </w:rPr>
        <w:t>Kuantifikasi frekuensi penyebutan entitas dihitung menggunakan sistem formulasi matematis berikut:</w:t>
      </w:r>
    </w:p>
    <w:p>
      <w:pPr>
        <w:spacing w:before="120" w:after="20"/>
      </w:pPr>
      <w:r>
        <w:rPr>
          <w:b/>
          <w:i/>
          <w:color w:val="2E7D32"/>
          <w:sz w:val="17"/>
        </w:rPr>
        <w:t>Persamaan: Persamaan Konstruksi Korpus Teks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Korpus = Gabungan ( judul_k , deskripsi_k , narasi_k )   ;   untuk k = 1 s.d. N</w:t>
      </w:r>
    </w:p>
    <w:p>
      <w:pPr>
        <w:spacing w:before="40" w:after="120"/>
        <w:ind w:left="280"/>
      </w:pPr>
      <w:r>
        <w:rPr>
          <w:b/>
          <w:i/>
          <w:color w:val="333333"/>
          <w:sz w:val="16"/>
        </w:rPr>
        <w:t>Keterangan Variabel:</w:t>
        <w:br/>
      </w:r>
      <w:r>
        <w:rPr>
          <w:b/>
          <w:i w:val="0"/>
          <w:color w:val="1B5E20"/>
          <w:sz w:val="16"/>
        </w:rPr>
        <w:t xml:space="preserve">- Korpus: </w:t>
      </w:r>
      <w:r>
        <w:rPr>
          <w:b w:val="0"/>
          <w:i w:val="0"/>
          <w:color w:val="444444"/>
          <w:sz w:val="16"/>
        </w:rPr>
        <w:t>Teks gabungan seluruh dokumentasi kasus sebagai bahan ekstraksi entitas (Variabel Independen).</w:t>
        <w:br/>
      </w:r>
      <w:r>
        <w:rPr>
          <w:b/>
          <w:i w:val="0"/>
          <w:color w:val="1B5E20"/>
          <w:sz w:val="16"/>
        </w:rPr>
        <w:t xml:space="preserve">- judul_k, deskripsi_k, narasi_k: </w:t>
      </w:r>
      <w:r>
        <w:rPr>
          <w:b w:val="0"/>
          <w:i w:val="0"/>
          <w:color w:val="444444"/>
          <w:sz w:val="16"/>
        </w:rPr>
        <w:t>Kolom teks bebas pada kasus ke-k dalam repositori TanahKita.</w:t>
        <w:br/>
      </w:r>
      <w:r>
        <w:rPr>
          <w:b/>
          <w:i w:val="0"/>
          <w:color w:val="1B5E20"/>
          <w:sz w:val="16"/>
        </w:rPr>
        <w:t xml:space="preserve">- N: </w:t>
      </w:r>
      <w:r>
        <w:rPr>
          <w:b w:val="0"/>
          <w:i w:val="0"/>
          <w:color w:val="444444"/>
          <w:sz w:val="16"/>
        </w:rPr>
        <w:t>Jumlah kasus agraria dalam repositori (568 kasus).</w:t>
      </w:r>
    </w:p>
    <w:p>
      <w:pPr>
        <w:spacing w:before="120" w:after="20"/>
      </w:pPr>
      <w:r>
        <w:rPr>
          <w:b/>
          <w:i/>
          <w:color w:val="2E7D32"/>
          <w:sz w:val="17"/>
        </w:rPr>
        <w:t>Persamaan: Persamaan Token Counting Frekuensi Entitas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Frekuensi_a = Σ ( Match_i,a )   ;   untuk seluruh kemunculan pola entitas a dalam Korpus</w:t>
      </w:r>
    </w:p>
    <w:p>
      <w:pPr>
        <w:spacing w:before="40" w:after="120"/>
        <w:ind w:left="280"/>
      </w:pPr>
      <w:r>
        <w:rPr>
          <w:b/>
          <w:i/>
          <w:color w:val="333333"/>
          <w:sz w:val="16"/>
        </w:rPr>
        <w:t>Keterangan Variabel:</w:t>
        <w:br/>
      </w:r>
      <w:r>
        <w:rPr>
          <w:b/>
          <w:i w:val="0"/>
          <w:color w:val="1B5E20"/>
          <w:sz w:val="16"/>
        </w:rPr>
        <w:t xml:space="preserve">- Frekuensi_a: </w:t>
      </w:r>
      <w:r>
        <w:rPr>
          <w:b w:val="0"/>
          <w:i w:val="0"/>
          <w:color w:val="444444"/>
          <w:sz w:val="16"/>
        </w:rPr>
        <w:t>Jumlah absolut penyebutan (mentions) entitas a dalam korpus (Variabel Dependen).</w:t>
        <w:br/>
      </w:r>
      <w:r>
        <w:rPr>
          <w:b/>
          <w:i w:val="0"/>
          <w:color w:val="1B5E20"/>
          <w:sz w:val="16"/>
        </w:rPr>
        <w:t xml:space="preserve">- Match_i,a: </w:t>
      </w:r>
      <w:r>
        <w:rPr>
          <w:b w:val="0"/>
          <w:i w:val="0"/>
          <w:color w:val="444444"/>
          <w:sz w:val="16"/>
        </w:rPr>
        <w:t>Kemunculan ke-i dari pola RegEx entitas a; pola korporasi mendeteksi awalan PT/CV diikuti nama kapital (maksimum 4 kata), dengan normalisasi varian PTPN menjadi satu entitas.</w:t>
        <w:br/>
      </w:r>
      <w:r>
        <w:rPr>
          <w:b/>
          <w:i w:val="0"/>
          <w:color w:val="1B5E20"/>
          <w:sz w:val="16"/>
        </w:rPr>
        <w:t xml:space="preserve">- Pola Aktor Proksi: </w:t>
      </w:r>
      <w:r>
        <w:rPr>
          <w:b w:val="0"/>
          <w:i w:val="0"/>
          <w:color w:val="444444"/>
          <w:sz w:val="16"/>
        </w:rPr>
        <w:t>Deteksi kata kunci Preman, Ormas, Satgas, PAM Swakarsa, Pemuda Pancasila, GRIB, Laskar, Oknum, Security, Satpam, Centeng, Beking beserta frasa lanjutannya, dipotong pada stopword pertama.</w:t>
      </w:r>
    </w:p>
    <w:p>
      <w:pPr>
        <w:spacing w:before="160" w:after="40"/>
      </w:pPr>
      <w:r>
        <w:rPr>
          <w:b/>
          <w:i w:val="0"/>
          <w:color w:val="2E7D32"/>
          <w:sz w:val="19"/>
        </w:rPr>
        <w:t>D. Matriks Hasil Uji Empiris: Frekuensi Entitas Korporasi dan Aktor Proksi</w:t>
      </w:r>
    </w:p>
    <w:p>
      <w:pPr>
        <w:spacing w:after="100"/>
        <w:jc w:val="both"/>
      </w:pPr>
      <w:r>
        <w:rPr>
          <w:b w:val="0"/>
          <w:i w:val="0"/>
          <w:color w:val="222222"/>
          <w:sz w:val="19"/>
        </w:rPr>
        <w:t xml:space="preserve">Sepuluh entitas korporasi paling dominan (dari total 1,033 entitas terdeteksi dengan 2,686 penyebutan) disajikan pada </w:t>
      </w:r>
      <w:r>
        <w:rPr>
          <w:b/>
          <w:i w:val="0"/>
          <w:color w:val="222222"/>
          <w:sz w:val="19"/>
        </w:rPr>
        <w:t>Tabel 4.13</w:t>
      </w:r>
      <w:r>
        <w:rPr>
          <w:b w:val="0"/>
          <w:i w:val="0"/>
          <w:color w:val="222222"/>
          <w:sz w:val="19"/>
        </w:rPr>
        <w:t xml:space="preserve"> berikut:</w:t>
      </w:r>
    </w:p>
    <w:p>
      <w:pPr>
        <w:spacing w:before="120" w:after="40"/>
      </w:pPr>
      <w:r>
        <w:rPr>
          <w:b/>
          <w:i/>
          <w:color w:val="2E7D32"/>
          <w:sz w:val="17"/>
        </w:rPr>
        <w:t>Tabel 4.13: Top 10 Entitas Korporasi Paling Dominan dalam Dokumentasi Konflik</w:t>
      </w:r>
    </w:p>
    <w:tbl>
      <w:tblPr>
        <w:tblStyle w:val="TableGrid"/>
        <w:tblW w:type="auto" w:w="0"/>
        <w:jc w:val="center"/>
        <w:tblLayout w:type="fixed"/>
        <w:tblLook w:firstColumn="1" w:firstRow="1" w:lastColumn="0" w:lastRow="0" w:noHBand="0" w:noVBand="1" w:val="04A0"/>
      </w:tblPr>
      <w:tblGrid>
        <w:gridCol w:w="4819"/>
        <w:gridCol w:w="4819"/>
      </w:tblGrid>
      <w:tr>
        <w:tc>
          <w:tcPr>
            <w:tcW w:type="dxa" w:w="538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Entitas Korporasi</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Frekuensi Penyebutan</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Perkebunan Nusantara (PTPN)</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153</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TPL</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SR</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KEM</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Bina Sari Alam Makmur</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Boskalis</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MAS</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WKS</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BAE</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MMP</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r>
    </w:tbl>
    <w:p>
      <w:pPr>
        <w:spacing w:after="80"/>
      </w:pPr>
    </w:p>
    <w:p>
      <w:pPr>
        <w:spacing w:after="100"/>
        <w:jc w:val="both"/>
      </w:pPr>
      <w:r>
        <w:rPr>
          <w:b w:val="0"/>
          <w:i w:val="0"/>
          <w:color w:val="222222"/>
          <w:sz w:val="19"/>
        </w:rPr>
        <w:t xml:space="preserve">Sepuluh aktor proksi dan vigilante paling sering terdeteksi (dari total 45 varian frasa dengan 87 penyebutan) disajikan pada </w:t>
      </w:r>
      <w:r>
        <w:rPr>
          <w:b/>
          <w:i w:val="0"/>
          <w:color w:val="222222"/>
          <w:sz w:val="19"/>
        </w:rPr>
        <w:t>Tabel 4.14</w:t>
      </w:r>
      <w:r>
        <w:rPr>
          <w:b w:val="0"/>
          <w:i w:val="0"/>
          <w:color w:val="222222"/>
          <w:sz w:val="19"/>
        </w:rPr>
        <w:t xml:space="preserve"> berikut:</w:t>
      </w:r>
    </w:p>
    <w:p>
      <w:pPr>
        <w:spacing w:before="120" w:after="40"/>
      </w:pPr>
      <w:r>
        <w:rPr>
          <w:b/>
          <w:i/>
          <w:color w:val="2E7D32"/>
          <w:sz w:val="17"/>
        </w:rPr>
        <w:t>Tabel 4.14: Top Aktor Proksi &amp; Vigilante Terdeteksi dalam Dokumentasi Konflik</w:t>
      </w:r>
    </w:p>
    <w:tbl>
      <w:tblPr>
        <w:tblStyle w:val="TableGrid"/>
        <w:tblW w:type="auto" w:w="0"/>
        <w:jc w:val="center"/>
        <w:tblLayout w:type="fixed"/>
        <w:tblLook w:firstColumn="1" w:firstRow="1" w:lastColumn="0" w:lastRow="0" w:noHBand="0" w:noVBand="1" w:val="04A0"/>
      </w:tblPr>
      <w:tblGrid>
        <w:gridCol w:w="4819"/>
        <w:gridCol w:w="4819"/>
      </w:tblGrid>
      <w:tr>
        <w:tc>
          <w:tcPr>
            <w:tcW w:type="dxa" w:w="538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Aktor Proksi / Vigilante</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Frekuensi Penyebutan</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Preman</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Oknum</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Satgas</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Security</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Oknum Pejabat</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Preman Bayaran</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Oknum Masyarakat Lokal</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Satgas Pkh</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538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Oknum Mantan Perangkat Desa</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538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Oknum Ormas</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60" w:after="40"/>
      </w:pPr>
      <w:r>
        <w:rPr>
          <w:b/>
          <w:i w:val="0"/>
          <w:color w:val="2E7D32"/>
          <w:sz w:val="19"/>
        </w:rPr>
        <w:t>E. Analisis Temuan Empiris: Orkestrasi Konflik dan Pemetaan Oligarki</w:t>
      </w:r>
    </w:p>
    <w:p>
      <w:pPr>
        <w:spacing w:after="100"/>
        <w:jc w:val="both"/>
      </w:pPr>
      <w:r>
        <w:rPr>
          <w:b/>
          <w:i w:val="0"/>
          <w:color w:val="222222"/>
          <w:sz w:val="19"/>
        </w:rPr>
        <w:t xml:space="preserve">1. </w:t>
      </w:r>
      <w:r>
        <w:rPr>
          <w:b/>
          <w:i w:val="0"/>
          <w:color w:val="222222"/>
          <w:sz w:val="19"/>
        </w:rPr>
        <w:t xml:space="preserve">Dominasi Entitas Korporasi: </w:t>
      </w:r>
      <w:r>
        <w:rPr>
          <w:b w:val="0"/>
          <w:i w:val="0"/>
          <w:color w:val="222222"/>
          <w:sz w:val="19"/>
        </w:rPr>
        <w:t>Ekstraksi teks mencatat frekuensi penyebutan entitas PT Perkebunan Nusantara (PTPN) tertinggi dengan 153 catatan kasus terpisah, memvalidasi indikasi konsentrasi kekuasaan dan monopoli penguasaan ruang oleh segelintir konglomerasi besar.</w:t>
        <w:br/>
      </w:r>
      <w:r>
        <w:rPr>
          <w:b/>
          <w:i w:val="0"/>
          <w:color w:val="222222"/>
          <w:sz w:val="19"/>
        </w:rPr>
        <w:t xml:space="preserve">2. </w:t>
      </w:r>
      <w:r>
        <w:rPr>
          <w:b/>
          <w:i w:val="0"/>
          <w:color w:val="222222"/>
          <w:sz w:val="19"/>
        </w:rPr>
        <w:t xml:space="preserve">Orkestrasi Horizontal Aktor Proksi: </w:t>
      </w:r>
      <w:r>
        <w:rPr>
          <w:b w:val="0"/>
          <w:i w:val="0"/>
          <w:color w:val="222222"/>
          <w:sz w:val="19"/>
        </w:rPr>
        <w:t>Kemunculan kelompok sipil seperti Preman (terdeteksi hingga 16 kali) menangkap besarnya skala orkestrasi horizontal. Korporasi seringkali menggunakan jasa pengamanan swakarsa, kelompok preman, hingga ormas vigilante sebagai 'bemper proksi' untuk mengintimidasi warga lokal dan memecah belah solidaritas akar rumput.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