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E7D32"/>
          <w:sz w:val="16"/>
        </w:rPr>
        <w:t>CELIOS - CENTER OF ECONOMIC AND LAW STUDIES  |  LAPORAN RISET METODOLOGI D3TLH</w:t>
      </w:r>
    </w:p>
    <w:p>
      <w:pPr>
        <w:spacing w:before="280" w:after="120"/>
        <w:pBdr>
          <w:bottom w:val="single" w:sz="12" w:space="2" w:color="1B5E20"/>
        </w:pBdr>
      </w:pPr>
      <w:r>
        <w:rPr>
          <w:b/>
          <w:i w:val="0"/>
          <w:color w:val="1B5E20"/>
          <w:sz w:val="26"/>
        </w:rPr>
        <w:t>BAB V: METODOLOGI ANALISIS POLA PENERBITAN IZIN DI ZONA KRITIS EKOLOGIS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Dokumen laporan metodologi ini menyajikan kerangka ilmiah, prosedur pengolahan data, dan pembacaan empiris yang dioperasionalkan pada </w:t>
      </w:r>
      <w:r>
        <w:rPr>
          <w:b/>
          <w:i w:val="0"/>
          <w:color w:val="222222"/>
          <w:sz w:val="19"/>
        </w:rPr>
        <w:t>Bab 5: Pola Penerbitan Izin di Zona Kritis Ekologis</w:t>
      </w:r>
      <w:r>
        <w:rPr>
          <w:b w:val="0"/>
          <w:i w:val="0"/>
          <w:color w:val="222222"/>
          <w:sz w:val="19"/>
        </w:rPr>
        <w:t xml:space="preserve"> dalam studi Daya Dukung dan Daya Tampung Lingkungan Hidup (D3TLH) Sulawesi.</w:t>
      </w:r>
    </w:p>
    <w:p>
      <w:pPr>
        <w:spacing w:before="240" w:after="80"/>
        <w:pBdr>
          <w:bottom w:val="single" w:sz="6" w:space="2" w:color="2E7D32"/>
        </w:pBdr>
      </w:pPr>
      <w:r>
        <w:rPr>
          <w:b/>
          <w:i w:val="0"/>
          <w:color w:val="2E7D32"/>
          <w:sz w:val="22"/>
        </w:rPr>
        <w:t>5.1 FAKTA PENYEBAB: SINKRONISASI WAKTU (TIMELINE MAPPING)</w:t>
      </w:r>
    </w:p>
    <w:p>
      <w:pPr>
        <w:ind w:left="200"/>
        <w:pBdr>
          <w:left w:val="single" w:sz="16" w:space="6" w:color="2E7D32"/>
        </w:pBdr>
        <w:shd w:val="clear" w:color="auto" w:fill="F1F8E9"/>
      </w:pPr>
      <w:r>
        <w:rPr>
          <w:b/>
          <w:i w:val="0"/>
          <w:color w:val="1B5E20"/>
          <w:sz w:val="17"/>
        </w:rPr>
        <w:t xml:space="preserve">SUMBER DATA RESMI &amp; DESKRIPSI VISUALISASI: </w:t>
      </w:r>
      <w:r>
        <w:rPr>
          <w:b w:val="0"/>
          <w:i/>
          <w:color w:val="333333"/>
          <w:sz w:val="17"/>
        </w:rPr>
        <w:t>Data Izin: data/processed/sulawesi_izin_baru_per_tahun.csv; Data Deforestasi: data/processed/sulawesi_gfw_master_1_dekade_2014_2023_v3.csv. Visualisasi dashboard menggunakan Dual-Axis Combo Chart.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A. Pengantar &amp; Kerangka Narasi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Penelusuran data spasial dan temporal di Sulawesi menunjukkan total deforestasi sebesar 1,386,055.4 hektar, sementara penerbitan 574 izin tambang baru mencakup luas konsesi 819,452.5 hektar. </w:t>
      </w:r>
      <w:r>
        <w:rPr>
          <w:b w:val="0"/>
          <w:i w:val="0"/>
          <w:color w:val="222222"/>
          <w:sz w:val="19"/>
        </w:rPr>
        <w:t>Puncak penerbitan izin tercatat pada tahun 2024 (194 izin), sedangkan 86.8% izin panel terbit pada tahun-tahun ketika laju deforestasi provinsi berada di atas median.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B. Alur Logika Metodologis Sinkronisasi Waktu (Timeline Mapping)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Kerangka sinkronisasi waktu antara penerbitan izin dan deforestasi diilustrasikan pada </w:t>
      </w:r>
      <w:r>
        <w:rPr>
          <w:b/>
          <w:i w:val="0"/>
          <w:color w:val="222222"/>
          <w:sz w:val="19"/>
        </w:rPr>
        <w:t>Bagan Alur 5.1</w:t>
      </w:r>
      <w:r>
        <w:rPr>
          <w:b w:val="0"/>
          <w:i w:val="0"/>
          <w:color w:val="222222"/>
          <w:sz w:val="19"/>
        </w:rPr>
        <w:t xml:space="preserve"> berikut. Sub-bab ini tidak menggunakan uji inferensial Chi-Square, melainkan Timeline Mapping.</w:t>
      </w:r>
    </w:p>
    <w:p>
      <w:pPr>
        <w:spacing w:before="120" w:after="40"/>
      </w:pPr>
      <w:r>
        <w:rPr>
          <w:b/>
          <w:i/>
          <w:color w:val="2E7D32"/>
          <w:sz w:val="17"/>
        </w:rPr>
        <w:t>Bagan Alur 5.1: Alur Logika Metodologis Timeline Mapping Izin vs Deforestasi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032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flowchart_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32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C. Formulasi Matematis: Agregasi Tahunan dan Akselerasi Izin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Total Deforestasi Tahunan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D_t = Σ D_{p,t}, untuk seluruh provinsi p pada tahun t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D_t: </w:t>
      </w:r>
      <w:r>
        <w:rPr>
          <w:b w:val="0"/>
          <w:i w:val="0"/>
          <w:color w:val="444444"/>
          <w:sz w:val="16"/>
        </w:rPr>
        <w:t>Total deforestasi tahunan di wilayah Sulawesi.</w:t>
        <w:br/>
      </w:r>
      <w:r>
        <w:rPr>
          <w:b/>
          <w:i w:val="0"/>
          <w:color w:val="1B5E20"/>
          <w:sz w:val="16"/>
        </w:rPr>
        <w:t xml:space="preserve">- D_{p,t}: </w:t>
      </w:r>
      <w:r>
        <w:rPr>
          <w:b w:val="0"/>
          <w:i w:val="0"/>
          <w:color w:val="444444"/>
          <w:sz w:val="16"/>
        </w:rPr>
        <w:t>Deforestasi provinsi p pada tahun t.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Total IUP dan Luas Konsesi Tahunan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I_t = Σ I_{p,t};  L_t = Σ L_{p,t}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I_t: </w:t>
      </w:r>
      <w:r>
        <w:rPr>
          <w:b w:val="0"/>
          <w:i w:val="0"/>
          <w:color w:val="444444"/>
          <w:sz w:val="16"/>
        </w:rPr>
        <w:t>Total jumlah izin tambang baru pada tahun t.</w:t>
        <w:br/>
      </w:r>
      <w:r>
        <w:rPr>
          <w:b/>
          <w:i w:val="0"/>
          <w:color w:val="1B5E20"/>
          <w:sz w:val="16"/>
        </w:rPr>
        <w:t xml:space="preserve">- L_t: </w:t>
      </w:r>
      <w:r>
        <w:rPr>
          <w:b w:val="0"/>
          <w:i w:val="0"/>
          <w:color w:val="444444"/>
          <w:sz w:val="16"/>
        </w:rPr>
        <w:t>Total luas konsesi tambang baru pada tahun t.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Substitusi Rasio Akselerasi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R = 468 / 106 = 4.4x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D. Matriks Hasil Uji Empiris: Sinkronisasi Timeline Izin dan Deforestasi</w:t>
      </w:r>
    </w:p>
    <w:p>
      <w:pPr>
        <w:spacing w:before="120" w:after="40"/>
      </w:pPr>
      <w:r>
        <w:rPr>
          <w:b/>
          <w:i/>
          <w:color w:val="2E7D32"/>
          <w:sz w:val="17"/>
        </w:rPr>
        <w:t>Tabel 5.1: Agregasi Waktu Historis Izin Tambang dan Deforestasi (2014-2023)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Tahun</w:t>
            </w:r>
          </w:p>
        </w:tc>
        <w:tc>
          <w:tcPr>
            <w:tcW w:type="dxa" w:w="2268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Deforestasi (Ha)</w:t>
            </w:r>
          </w:p>
        </w:tc>
        <w:tc>
          <w:tcPr>
            <w:tcW w:type="dxa" w:w="1701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Jumlah IUP Baru</w:t>
            </w:r>
          </w:p>
        </w:tc>
        <w:tc>
          <w:tcPr>
            <w:tcW w:type="dxa" w:w="2268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Luas Konsesi Baru (Ha)</w:t>
            </w:r>
          </w:p>
        </w:tc>
      </w:tr>
      <w:tr>
        <w:tc>
          <w:tcPr>
            <w:tcW w:type="dxa" w:w="113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2014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158,688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26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49,518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2015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225,751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5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22,339</w:t>
            </w:r>
          </w:p>
        </w:tc>
      </w:tr>
      <w:tr>
        <w:tc>
          <w:tcPr>
            <w:tcW w:type="dxa" w:w="113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2016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190,064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9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12,516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2017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127,180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26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179,465</w:t>
            </w:r>
          </w:p>
        </w:tc>
      </w:tr>
      <w:tr>
        <w:tc>
          <w:tcPr>
            <w:tcW w:type="dxa" w:w="113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2018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123,572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23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37,971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2019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159,501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17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61,968</w:t>
            </w:r>
          </w:p>
        </w:tc>
      </w:tr>
      <w:tr>
        <w:tc>
          <w:tcPr>
            <w:tcW w:type="dxa" w:w="113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2020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82,269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28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106,560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2021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67,210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41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30,423</w:t>
            </w:r>
          </w:p>
        </w:tc>
      </w:tr>
      <w:tr>
        <w:tc>
          <w:tcPr>
            <w:tcW w:type="dxa" w:w="113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2022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80,121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56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66,128</w:t>
            </w:r>
          </w:p>
        </w:tc>
      </w:tr>
      <w:tr>
        <w:tc>
          <w:tcPr>
            <w:tcW w:type="dxa" w:w="113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2023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171,699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149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68,557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i/>
          <w:color w:val="2E7D32"/>
          <w:sz w:val="17"/>
        </w:rPr>
        <w:t>Tabel 5.2: Ringkasan Periode Kritis Penerbitan Izin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54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Periode/Indikator</w:t>
            </w:r>
          </w:p>
        </w:tc>
        <w:tc>
          <w:tcPr>
            <w:tcW w:type="dxa" w:w="1247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Nilai</w:t>
            </w:r>
          </w:p>
        </w:tc>
        <w:tc>
          <w:tcPr>
            <w:tcW w:type="dxa" w:w="3402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5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Pra-2020</w:t>
            </w:r>
          </w:p>
        </w:tc>
        <w:tc>
          <w:tcPr>
            <w:tcW w:type="dxa" w:w="1247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106</w:t>
            </w:r>
          </w:p>
        </w:tc>
        <w:tc>
          <w:tcPr>
            <w:tcW w:type="dxa" w:w="3402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Periode sebelum akselerasi pasca-2020</w:t>
            </w:r>
          </w:p>
        </w:tc>
      </w:tr>
      <w:tr>
        <w:tc>
          <w:tcPr>
            <w:tcW w:type="dxa" w:w="215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Pasca-2020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468</w:t>
            </w:r>
          </w:p>
        </w:tc>
        <w:tc>
          <w:tcPr>
            <w:tcW w:type="dxa" w:w="3402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4.4x dibanding pra-2020</w:t>
            </w:r>
          </w:p>
        </w:tc>
      </w:tr>
      <w:tr>
        <w:tc>
          <w:tcPr>
            <w:tcW w:type="dxa" w:w="215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Tahun Kritis Ekologis</w:t>
            </w:r>
          </w:p>
        </w:tc>
        <w:tc>
          <w:tcPr>
            <w:tcW w:type="dxa" w:w="1247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330</w:t>
            </w:r>
          </w:p>
        </w:tc>
        <w:tc>
          <w:tcPr>
            <w:tcW w:type="dxa" w:w="3402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86.8% dari izin panel GFW-IUP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i w:val="0"/>
          <w:color w:val="2E7D32"/>
          <w:sz w:val="19"/>
        </w:rPr>
        <w:t>E. Analisis Temuan Empiris: Sinkronisasi Krisis Ekologis dan Keputusan Perizinan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Puncak deforestasi tahunan tercatat pada tahun 2015 sebesar 225,751 hektar, sedangkan puncak luas konsesi IUP baru tercatat pada tahun 2017 sebesar 179,465 hektar. </w:t>
      </w:r>
      <w:r>
        <w:rPr>
          <w:b w:val="0"/>
          <w:i w:val="0"/>
          <w:color w:val="222222"/>
          <w:sz w:val="19"/>
        </w:rPr>
        <w:t>Provinsi dengan penerbitan izin tertinggi pada periode deforestasi kritis adalah Sulawesi Tengah dengan 173 IUP.</w:t>
      </w:r>
    </w:p>
    <w:p>
      <w:pPr>
        <w:spacing w:before="240" w:after="80"/>
        <w:pBdr>
          <w:bottom w:val="single" w:sz="6" w:space="2" w:color="2E7D32"/>
        </w:pBdr>
      </w:pPr>
      <w:r>
        <w:rPr>
          <w:b/>
          <w:i w:val="0"/>
          <w:color w:val="2E7D32"/>
          <w:sz w:val="22"/>
        </w:rPr>
        <w:t>5.2 FAKTA SPASIAL: TABRAKAN TATA RUANG DI KAWASAN KONSERVASI</w:t>
      </w:r>
    </w:p>
    <w:p>
      <w:pPr>
        <w:ind w:left="200"/>
        <w:pBdr>
          <w:left w:val="single" w:sz="16" w:space="6" w:color="2E7D32"/>
        </w:pBdr>
        <w:shd w:val="clear" w:color="auto" w:fill="F1F8E9"/>
      </w:pPr>
      <w:r>
        <w:rPr>
          <w:b/>
          <w:i w:val="0"/>
          <w:color w:val="1B5E20"/>
          <w:sz w:val="17"/>
        </w:rPr>
        <w:t xml:space="preserve">SUMBER DATA RESMI &amp; DESKRIPSI VISUALISASI: </w:t>
      </w:r>
      <w:r>
        <w:rPr>
          <w:b w:val="0"/>
          <w:i/>
          <w:color w:val="333333"/>
          <w:sz w:val="17"/>
        </w:rPr>
        <w:t>Data GFW Overlay Kawasan Lindung: data/processed/sulawesi_gfw_kawasan_lindung_loss_2014_2023_v3.csv (GFW dengan overlay Livelihood Zone Proxy Kategori 1 &amp; 2). Visualisasi dashboard menggunakan Stacked Bar Chart kumulatif per kategori livelihood dengan garis Total Kehancuran Kumulatif 2014-2023.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A. Pengantar &amp; Kerangka Narasi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Dataset spasial menunjukkan pentingnya kepatuhan terhadap batas-batas tata ruang. Kawasan penyangga kehidupan (Hutan Produksi, Kawasan Lindung, dan Area Resapan Air) memerlukan pengawasan agar fungsi ekologisnya tetap terjaga di tengah ekspansi pertambangan. </w:t>
      </w:r>
      <w:r>
        <w:rPr>
          <w:b w:val="0"/>
          <w:i w:val="0"/>
          <w:color w:val="222222"/>
          <w:sz w:val="19"/>
        </w:rPr>
        <w:t>Analisis dilakukan dengan mengisolasi data tree cover loss (GFW) yang secara spesifik bertumpukan/beririsan dengan poligon Kawasan Livelihood (Zona Pertanian, Peternakan) dan Perkebunan Warga, lalu mengkalkulasi kehancuran agregat kawasan penyangga ekosistem esensial selama satu dekade terakhir akibat penetrasi aktivitas tambang.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B. Alur Logika Metodologis Overlay Area Kawasan Lindung (GFW)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Kerangka agregasi spasial bertingkat untuk mendokumentasikan skala kehancuran kawasan livelihood diilustrasikan pada </w:t>
      </w:r>
      <w:r>
        <w:rPr>
          <w:b/>
          <w:i w:val="0"/>
          <w:color w:val="222222"/>
          <w:sz w:val="19"/>
        </w:rPr>
        <w:t>Bagan Alur 5.2</w:t>
      </w:r>
      <w:r>
        <w:rPr>
          <w:b w:val="0"/>
          <w:i w:val="0"/>
          <w:color w:val="222222"/>
          <w:sz w:val="19"/>
        </w:rPr>
        <w:t xml:space="preserve"> berikut. Sub-bab ini tidak menggunakan uji inferensial Chi-Square, melainkan Geospatial Overlay dan kuantifikasi kerusakan kumulatif deskriptif.</w:t>
      </w:r>
    </w:p>
    <w:p>
      <w:pPr>
        <w:spacing w:before="120" w:after="40"/>
      </w:pPr>
      <w:r>
        <w:rPr>
          <w:b/>
          <w:i/>
          <w:color w:val="2E7D32"/>
          <w:sz w:val="17"/>
        </w:rPr>
        <w:t>Bagan Alur 5.2: Alur Logika Analisis Overlay Spasial Kawasan Livelihood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49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flowchart_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C. Formulasi Matematis: Isolasi Overlay dan Akumulasi Kerusakan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Persamaan Isolasi Luas Hancur per Kategori Livelihood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Luas_Hancur_c(t) = Σ ( Loss_i )   ;   untuk seluruh observasi i dengan Kategori_Livelihood = c pada tahun t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Luas_Hancur_c(t): </w:t>
      </w:r>
      <w:r>
        <w:rPr>
          <w:b w:val="0"/>
          <w:i w:val="0"/>
          <w:color w:val="444444"/>
          <w:sz w:val="16"/>
        </w:rPr>
        <w:t>Total luas kehilangan tutupan (Ha) kategori livelihood c pada tahun t.</w:t>
        <w:br/>
      </w:r>
      <w:r>
        <w:rPr>
          <w:b/>
          <w:i w:val="0"/>
          <w:color w:val="1B5E20"/>
          <w:sz w:val="16"/>
        </w:rPr>
        <w:t xml:space="preserve">- Loss_i: </w:t>
      </w:r>
      <w:r>
        <w:rPr>
          <w:b w:val="0"/>
          <w:i w:val="0"/>
          <w:color w:val="444444"/>
          <w:sz w:val="16"/>
        </w:rPr>
        <w:t>Luas tree cover loss (Ha) observasi ke-i yang beririsan dengan poligon kawasan livelihood.</w:t>
        <w:br/>
      </w:r>
      <w:r>
        <w:rPr>
          <w:b/>
          <w:i w:val="0"/>
          <w:color w:val="1B5E20"/>
          <w:sz w:val="16"/>
        </w:rPr>
        <w:t xml:space="preserve">- c: </w:t>
      </w:r>
      <w:r>
        <w:rPr>
          <w:b w:val="0"/>
          <w:i w:val="0"/>
          <w:color w:val="444444"/>
          <w:sz w:val="16"/>
        </w:rPr>
        <w:t>Kategori livelihood: c=1 Zona Pertanian &amp; Peternakan; c=2 Perkebunan Warga.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Persamaan Akumulasi Kerusakan Permanen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Kumulatif_Hancur_c(T) = Σ Luas_Hancur_c(t)   ;   untuk t = 2014 s.d. T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Kumulatif_Hancur_c(T): </w:t>
      </w:r>
      <w:r>
        <w:rPr>
          <w:b w:val="0"/>
          <w:i w:val="0"/>
          <w:color w:val="444444"/>
          <w:sz w:val="16"/>
        </w:rPr>
        <w:t>Akumulasi kerusakan kategori c hingga tahun berjalan T; bersifat permanen karena hutan yang hilang tidak kembali.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Persamaan Total Kehancuran Kumulatif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Total_Kumulatif(T) = Kumulatif_Hancur_1(T) + Kumulatif_Hancur_2(T)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Total_Kumulatif(T): </w:t>
      </w:r>
      <w:r>
        <w:rPr>
          <w:b w:val="0"/>
          <w:i w:val="0"/>
          <w:color w:val="444444"/>
          <w:sz w:val="16"/>
        </w:rPr>
        <w:t>Total kehancuran kawasan livelihood hingga tahun T; nilai akhir dekade mencapai 41,785.1 Ha.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D. Matriks Hasil Uji Empiris: Rincian Kehancuran Kawasan Livelihood per Tahun</w:t>
      </w:r>
    </w:p>
    <w:p>
      <w:pPr>
        <w:spacing w:before="120" w:after="40"/>
      </w:pPr>
      <w:r>
        <w:rPr>
          <w:b/>
          <w:i/>
          <w:color w:val="2E7D32"/>
          <w:sz w:val="17"/>
        </w:rPr>
        <w:t>Tabel 5.3: Rincian Kehancuran Kawasan Livelihood Warga per Tahun (2014-2023)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Tahun</w:t>
            </w:r>
          </w:p>
        </w:tc>
        <w:tc>
          <w:tcPr>
            <w:tcW w:type="dxa" w:w="1928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Pertanian &amp; Peternakan (Ha)</w:t>
            </w:r>
          </w:p>
        </w:tc>
        <w:tc>
          <w:tcPr>
            <w:tcW w:type="dxa" w:w="1814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Perkebunan Warga (Ha)</w:t>
            </w:r>
          </w:p>
        </w:tc>
        <w:tc>
          <w:tcPr>
            <w:tcW w:type="dxa" w:w="1701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Tahunan (Ha)</w:t>
            </w:r>
          </w:p>
        </w:tc>
        <w:tc>
          <w:tcPr>
            <w:tcW w:type="dxa" w:w="1814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Kumulatif (Ha)</w:t>
            </w:r>
          </w:p>
        </w:tc>
      </w:tr>
      <w:tr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2014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2,261.0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1,478.8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3,739.9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3,739.9</w:t>
            </w:r>
          </w:p>
        </w:tc>
      </w:tr>
      <w:tr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2015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4,512.1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3,164.5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7,676.6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11,416.5</w:t>
            </w:r>
          </w:p>
        </w:tc>
      </w:tr>
      <w:tr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2016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4,046.4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3,814.5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7,860.9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19,277.3</w:t>
            </w:r>
          </w:p>
        </w:tc>
      </w:tr>
      <w:tr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2017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2,341.9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1,560.3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3,902.2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23,179.6</w:t>
            </w:r>
          </w:p>
        </w:tc>
      </w:tr>
      <w:tr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2018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2,266.6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1,363.8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3,630.4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26,810.0</w:t>
            </w:r>
          </w:p>
        </w:tc>
      </w:tr>
      <w:tr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2019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2,698.7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1,555.4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4,254.1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31,064.1</w:t>
            </w:r>
          </w:p>
        </w:tc>
      </w:tr>
      <w:tr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2020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1,428.9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1,379.1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2,808.0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33,872.0</w:t>
            </w:r>
          </w:p>
        </w:tc>
      </w:tr>
      <w:tr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2021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955.6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969.1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1,924.7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35,796.8</w:t>
            </w:r>
          </w:p>
        </w:tc>
      </w:tr>
      <w:tr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2022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1,134.8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848.0</w:t>
            </w:r>
          </w:p>
        </w:tc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1,982.9</w:t>
            </w:r>
          </w:p>
        </w:tc>
        <w:tc>
          <w:tcPr>
            <w:tcW w:type="dxa" w:w="181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37,779.6</w:t>
            </w:r>
          </w:p>
        </w:tc>
      </w:tr>
      <w:tr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2023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2,458.3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1,547.2</w:t>
            </w:r>
          </w:p>
        </w:tc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4,005.5</w:t>
            </w:r>
          </w:p>
        </w:tc>
        <w:tc>
          <w:tcPr>
            <w:tcW w:type="dxa" w:w="181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41,785.1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i w:val="0"/>
          <w:color w:val="2E7D32"/>
          <w:sz w:val="19"/>
        </w:rPr>
        <w:t>E. Analisis Temuan Empiris: Fakta Spasial Tabrakan Tata Ruang</w:t>
      </w:r>
    </w:p>
    <w:p>
      <w:pPr>
        <w:spacing w:after="100"/>
        <w:jc w:val="both"/>
      </w:pPr>
      <w:r>
        <w:rPr>
          <w:b/>
          <w:i w:val="0"/>
          <w:color w:val="222222"/>
          <w:sz w:val="19"/>
        </w:rPr>
        <w:t xml:space="preserve">1. </w:t>
      </w:r>
      <w:r>
        <w:rPr>
          <w:b/>
          <w:i w:val="0"/>
          <w:color w:val="222222"/>
          <w:sz w:val="19"/>
        </w:rPr>
        <w:t xml:space="preserve">Skala Kehancuran Dekade: </w:t>
      </w:r>
      <w:r>
        <w:rPr>
          <w:b w:val="0"/>
          <w:i w:val="0"/>
          <w:color w:val="222222"/>
          <w:sz w:val="19"/>
        </w:rPr>
        <w:t>Dalam dekade terakhir, total lebih dari 41.8 ribu hektar kawasan livelihood (Pertanian, Peternakan, dan Perkebunan) warga tercatat mengalami perubahan tutupan lahan yang beririsan dengan dinamika industri ekstraktif.</w:t>
        <w:br/>
      </w:r>
      <w:r>
        <w:rPr>
          <w:b/>
          <w:i w:val="0"/>
          <w:color w:val="222222"/>
          <w:sz w:val="19"/>
        </w:rPr>
        <w:t xml:space="preserve">2. </w:t>
      </w:r>
      <w:r>
        <w:rPr>
          <w:b/>
          <w:i w:val="0"/>
          <w:color w:val="222222"/>
          <w:sz w:val="19"/>
        </w:rPr>
        <w:t xml:space="preserve">Komposisi Kategori: </w:t>
      </w:r>
      <w:r>
        <w:rPr>
          <w:b w:val="0"/>
          <w:i w:val="0"/>
          <w:color w:val="222222"/>
          <w:sz w:val="19"/>
        </w:rPr>
        <w:t>Zona Pertanian &amp; Peternakan menyumbang 24,104.2 Ha (57.7%) dan Perkebunan Warga 17,680.9 Ha (42.3%) dari total kehancuran kumulatif.</w:t>
        <w:br/>
      </w:r>
      <w:r>
        <w:rPr>
          <w:b/>
          <w:i w:val="0"/>
          <w:color w:val="222222"/>
          <w:sz w:val="19"/>
        </w:rPr>
        <w:t xml:space="preserve">3. </w:t>
      </w:r>
      <w:r>
        <w:rPr>
          <w:b/>
          <w:i w:val="0"/>
          <w:color w:val="222222"/>
          <w:sz w:val="19"/>
        </w:rPr>
        <w:t xml:space="preserve">Tahun Lonjakan Tertinggi: </w:t>
      </w:r>
      <w:r>
        <w:rPr>
          <w:b w:val="0"/>
          <w:i w:val="0"/>
          <w:color w:val="222222"/>
          <w:sz w:val="19"/>
        </w:rPr>
        <w:t>Kehancuran tahunan terbesar tercatat pada tahun 2016 sebesar 7,860.9 Ha. Karena kerusakan bersifat permanen, akumulasi ini menegaskan pentingnya kepatuhan batas tata ruang dan pengawasan kawasan penyangga ekosistem esensial.</w:t>
      </w:r>
    </w:p>
    <w:p>
      <w:pPr>
        <w:spacing w:before="240" w:after="80"/>
        <w:pBdr>
          <w:bottom w:val="single" w:sz="6" w:space="2" w:color="2E7D32"/>
        </w:pBdr>
      </w:pPr>
      <w:r>
        <w:rPr>
          <w:b/>
          <w:i w:val="0"/>
          <w:color w:val="2E7D32"/>
          <w:sz w:val="22"/>
        </w:rPr>
        <w:t>5.3 REALITAS LAPANGAN: IZIN BERMASALAH, FPIC DIABAIKAN, MASYARAKAT DIKORBANKAN</w:t>
      </w:r>
    </w:p>
    <w:p>
      <w:pPr>
        <w:ind w:left="200"/>
        <w:pBdr>
          <w:left w:val="single" w:sz="16" w:space="6" w:color="2E7D32"/>
        </w:pBdr>
        <w:shd w:val="clear" w:color="auto" w:fill="F1F8E9"/>
      </w:pPr>
      <w:r>
        <w:rPr>
          <w:b/>
          <w:i w:val="0"/>
          <w:color w:val="1B5E20"/>
          <w:sz w:val="17"/>
        </w:rPr>
        <w:t xml:space="preserve">SUMBER DATA RESMI &amp; DESKRIPSI VISUALISASI: </w:t>
      </w:r>
      <w:r>
        <w:rPr>
          <w:b w:val="0"/>
          <w:i/>
          <w:color w:val="333333"/>
          <w:sz w:val="17"/>
        </w:rPr>
        <w:t>Data Konflik: data/processed/sulawesi_konflik_tambang_fpic.csv; Data Masalah Izin: data/processed/kpa_masalah_izin_perusahaan.csv. Metode: Cross-Dataset Integration.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A. Pengantar &amp; Kerangka Narasi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Laporan dari CRI, Mighty Earth, dan BHRRC mendokumentasikan isu tata kelola perizinan dan pelaksanaan konsultasi publik (FPIC). Penelusuran terhadap database Konsorsium Pembaruan Agraria (KPA) CATAHU 2016-2025 dan Tanahkita.id mengidentifikasi </w:t>
      </w:r>
      <w:r>
        <w:rPr>
          <w:b/>
          <w:i w:val="0"/>
          <w:color w:val="222222"/>
          <w:sz w:val="19"/>
        </w:rPr>
        <w:t>21 kasus permasalahan izin perusahaan</w:t>
      </w:r>
      <w:r>
        <w:rPr>
          <w:b w:val="0"/>
          <w:i w:val="0"/>
          <w:color w:val="222222"/>
          <w:sz w:val="19"/>
        </w:rPr>
        <w:t xml:space="preserve"> secara nasional, dengan 16 entitas yang bermasalah di wilayah Sulawesi. </w:t>
      </w:r>
      <w:r>
        <w:rPr>
          <w:b/>
          <w:i w:val="0"/>
          <w:color w:val="222222"/>
          <w:sz w:val="19"/>
        </w:rPr>
        <w:t>Di Sulawesi, tercatat 12 kasus konflik pertambangan (2014-2024) dengan 8 kasus yang mencatatkan indikasi isu pelaksanaan FPIC.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B. Alur Logika Metodologis Pelanggaran FPIC</w:t>
      </w:r>
    </w:p>
    <w:p>
      <w:pPr>
        <w:spacing w:before="120" w:after="40"/>
      </w:pPr>
      <w:r>
        <w:rPr>
          <w:b/>
          <w:i/>
          <w:color w:val="2E7D32"/>
          <w:sz w:val="17"/>
        </w:rPr>
        <w:t>Bagan Alur 5.3: Alur Logika Metodologis Integrasi Data Konflik dan Pelanggaran FPIC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168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flowchart_5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68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C. Formulasi Matematis: Kuantifikasi Pelanggaran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>Pemodelan indikator pelanggaran dan rekam jejak perusahaan: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Total Pelanggaran FPIC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Total_Pelanggaran_FPIC = Σ Kasus, untuk indikasi_fpic = True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Rekam Jejak Oligarki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Rekam_Jejak = Σ Jenis_Masalah_Izin, dikelompokkan berdasarkan nama_perusahaan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D. Matriks Hasil Uji Empiris</w:t>
      </w:r>
    </w:p>
    <w:p>
      <w:pPr>
        <w:spacing w:before="120" w:after="40"/>
      </w:pPr>
      <w:r>
        <w:rPr>
          <w:b/>
          <w:i/>
          <w:color w:val="2E7D32"/>
          <w:sz w:val="17"/>
        </w:rPr>
        <w:t>Tabel 5.3: Metrik Konflik dan Pelanggaran FPIC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Indikator</w:t>
            </w:r>
          </w:p>
        </w:tc>
        <w:tc>
          <w:tcPr>
            <w:tcW w:type="dxa" w:w="2268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Kasus</w:t>
            </w:r>
          </w:p>
        </w:tc>
      </w:tr>
      <w:tr>
        <w:tc>
          <w:tcPr>
            <w:tcW w:type="dxa" w:w="4535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 Konflik Pertambangan Sulawesi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12</w:t>
            </w:r>
          </w:p>
        </w:tc>
      </w:tr>
      <w:tr>
        <w:tc>
          <w:tcPr>
            <w:tcW w:type="dxa" w:w="45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Kasus Indikasi Pelanggaran FPIC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8</w:t>
            </w:r>
          </w:p>
        </w:tc>
      </w:tr>
      <w:tr>
        <w:tc>
          <w:tcPr>
            <w:tcW w:type="dxa" w:w="4535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Perusahaan Bermasalah di Sulawesi</w:t>
            </w:r>
          </w:p>
        </w:tc>
        <w:tc>
          <w:tcPr>
            <w:tcW w:type="dxa" w:w="226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16</w:t>
            </w:r>
          </w:p>
        </w:tc>
      </w:tr>
      <w:tr>
        <w:tc>
          <w:tcPr>
            <w:tcW w:type="dxa" w:w="4535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 Permasalahan Izin KPA (Nasional)</w:t>
            </w:r>
          </w:p>
        </w:tc>
        <w:tc>
          <w:tcPr>
            <w:tcW w:type="dxa" w:w="226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21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i w:val="0"/>
          <w:color w:val="2E7D32"/>
          <w:sz w:val="19"/>
        </w:rPr>
        <w:t>E. Analisis Temuan Empiris: Pembuktian Realitas Lapangan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>Dari 12 konflik pertambangan di Sulawesi, 8 di antaranya secara eksplisit terkait dengan pelanggaran persetujuan awal tanpa paksaan (FPIC). Hal ini menggarisbawahi perlunya penguatan sistem evaluasi perizinan dan penghormatan terhadap hak-hak komunitas lokal.</w:t>
      </w:r>
    </w:p>
    <w:p>
      <w:pPr>
        <w:spacing w:before="240" w:after="80"/>
        <w:pBdr>
          <w:bottom w:val="single" w:sz="6" w:space="2" w:color="2E7D32"/>
        </w:pBdr>
      </w:pPr>
      <w:r>
        <w:rPr>
          <w:b/>
          <w:i w:val="0"/>
          <w:color w:val="2E7D32"/>
          <w:sz w:val="22"/>
        </w:rPr>
        <w:t>5.4 PEMBUKTIAN EMPIRIS: UJI STATISTIK KORELASI PENERBITAN IZIN &amp; DEFORESTASI</w:t>
      </w:r>
    </w:p>
    <w:p>
      <w:pPr>
        <w:ind w:left="200"/>
        <w:pBdr>
          <w:left w:val="single" w:sz="16" w:space="6" w:color="2E7D32"/>
        </w:pBdr>
        <w:shd w:val="clear" w:color="auto" w:fill="F1F8E9"/>
      </w:pPr>
      <w:r>
        <w:rPr>
          <w:b/>
          <w:i w:val="0"/>
          <w:color w:val="1B5E20"/>
          <w:sz w:val="17"/>
        </w:rPr>
        <w:t xml:space="preserve">SUMBER DATA RESMI &amp; DESKRIPSI VISUALISASI: </w:t>
      </w:r>
      <w:r>
        <w:rPr>
          <w:b w:val="0"/>
          <w:i/>
          <w:color w:val="333333"/>
          <w:sz w:val="17"/>
        </w:rPr>
        <w:t>Panel Join dari sulawesi_izin_baru_per_tahun.csv dan sulawesi_gfw_master_1_dekade_2014_2023_v3.csv. Visualisasi dashboard menggunakan Crosstabulation &amp; Pearson Chi-Square Test.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A. Pengantar &amp; Kerangka Narasi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 xml:space="preserve">Sub-bab ini menggunakan pengujian statistik inferensial untuk membuktikan secara matematis apakah besaran jumlah perizinan baru menjadi prediktor kuat terhadap tingkat kerusakan deforestasi. </w:t>
      </w:r>
      <w:r>
        <w:rPr>
          <w:b w:val="0"/>
          <w:i w:val="0"/>
          <w:color w:val="222222"/>
          <w:sz w:val="19"/>
        </w:rPr>
        <w:t>Data numerik berkelanjutan dikategorikan menjadi Tinggi dan Rendah menggunakan ambang batas median dari distribusi panel.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B. Alur Logika Metodologis Crosstabulation &amp; Pearson Chi-Square Test</w:t>
      </w:r>
    </w:p>
    <w:p>
      <w:pPr>
        <w:spacing w:before="120" w:after="40"/>
      </w:pPr>
      <w:r>
        <w:rPr>
          <w:b/>
          <w:i/>
          <w:color w:val="2E7D32"/>
          <w:sz w:val="17"/>
        </w:rPr>
        <w:t>Bagan Alur 5.4: Alur Logika Metodologis Uji Korelasi Izin dan Deforestasi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8804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flowchart_5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8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i/>
          <w:color w:val="2E7D32"/>
          <w:sz w:val="17"/>
        </w:rPr>
        <w:t>Tabel 5.4a: Konfigurasi Variabel Uji Chi-Square (Sub-bab 5.4)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Komponen Uji</w:t>
            </w:r>
          </w:p>
        </w:tc>
        <w:tc>
          <w:tcPr>
            <w:tcW w:type="dxa" w:w="6236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Definisi Variabel (Sub-bab 5.4)</w:t>
            </w:r>
          </w:p>
        </w:tc>
      </w:tr>
      <w:tr>
        <w:tc>
          <w:tcPr>
            <w:tcW w:type="dxa" w:w="255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Variabel Independen (X)</w:t>
            </w:r>
          </w:p>
        </w:tc>
        <w:tc>
          <w:tcPr>
            <w:tcW w:type="dxa" w:w="6236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Jumlah_Izin_Baru atau Total_Luas_Konsesi_Baru_Ha.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Variabel Dependen (Y)</w:t>
            </w:r>
          </w:p>
        </w:tc>
        <w:tc>
          <w:tcPr>
            <w:tcW w:type="dxa" w:w="62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Total_Deforestasi_Ha atau Deforestasi_Driver_Komoditas_Tambang_Sawit_Ha.</w:t>
            </w:r>
          </w:p>
        </w:tc>
      </w:tr>
      <w:tr>
        <w:tc>
          <w:tcPr>
            <w:tcW w:type="dxa" w:w="255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Hipotesis Nol (H0)</w:t>
            </w:r>
          </w:p>
        </w:tc>
        <w:tc>
          <w:tcPr>
            <w:tcW w:type="dxa" w:w="6236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Tidak ada hubungan signifikan antara klasifikasi tingginya penerbitan IUP baru dan klasifikasi tingginya deforestasi.</w:t>
            </w:r>
          </w:p>
        </w:tc>
      </w:tr>
      <w:tr>
        <w:tc>
          <w:tcPr>
            <w:tcW w:type="dxa" w:w="255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Decision Rule</w:t>
            </w:r>
          </w:p>
        </w:tc>
        <w:tc>
          <w:tcPr>
            <w:tcW w:type="dxa" w:w="6236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Tolak H0 jika P-Value Pearson Chi-Square &lt; 0.05.</w:t>
            </w:r>
          </w:p>
        </w:tc>
      </w:tr>
      <w:tr>
        <w:tc>
          <w:tcPr>
            <w:tcW w:type="dxa" w:w="255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Unit Observasi</w:t>
            </w:r>
          </w:p>
        </w:tc>
        <w:tc>
          <w:tcPr>
            <w:tcW w:type="dxa" w:w="6236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Panel Provinsi-Tahun hasil join data izin dan GFW (N=60).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i w:val="0"/>
          <w:color w:val="2E7D32"/>
          <w:sz w:val="19"/>
        </w:rPr>
        <w:t>C. Formulasi Matematis: Binning Median, Chi-Square, dan Odds Ratio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Kategorisasi Median Panel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Kategori(x) = Tinggi jika x ≥ Median(Panel); Rendah jika x &lt; Median(Panel)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Uji Chi-Square Pearson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χ² = Σ [ ( O_i - E_i )² / E_i ]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O_i: </w:t>
      </w:r>
      <w:r>
        <w:rPr>
          <w:b w:val="0"/>
          <w:i w:val="0"/>
          <w:color w:val="444444"/>
          <w:sz w:val="16"/>
        </w:rPr>
        <w:t>Frekuensi observasi pada sel kontinjensi.</w:t>
        <w:br/>
      </w:r>
      <w:r>
        <w:rPr>
          <w:b/>
          <w:i w:val="0"/>
          <w:color w:val="1B5E20"/>
          <w:sz w:val="16"/>
        </w:rPr>
        <w:t xml:space="preserve">- E_i: </w:t>
      </w:r>
      <w:r>
        <w:rPr>
          <w:b w:val="0"/>
          <w:i w:val="0"/>
          <w:color w:val="444444"/>
          <w:sz w:val="16"/>
        </w:rPr>
        <w:t>Frekuensi harapan jika X dan Y independen.</w:t>
      </w:r>
    </w:p>
    <w:p>
      <w:pPr>
        <w:spacing w:before="120" w:after="20"/>
      </w:pPr>
      <w:r>
        <w:rPr>
          <w:b/>
          <w:i/>
          <w:color w:val="2E7D32"/>
          <w:sz w:val="17"/>
        </w:rPr>
        <w:t>Persamaan: Odds Ratio</w:t>
      </w:r>
    </w:p>
    <w:p>
      <w:pPr>
        <w:ind w:left="240"/>
        <w:shd w:val="clear" w:color="auto" w:fill="EDF7EE"/>
        <w:pBdr>
          <w:top w:val="single" w:sz="4" w:space="4" w:color="A5D6A7"/>
          <w:left w:val="single" w:sz="4" w:space="4" w:color="A5D6A7"/>
          <w:bottom w:val="single" w:sz="4" w:space="4" w:color="A5D6A7"/>
          <w:right w:val="single" w:sz="4" w:space="4" w:color="A5D6A7"/>
        </w:pBdr>
      </w:pPr>
      <w:r>
        <w:rPr>
          <w:rFonts w:ascii="Courier New" w:hAnsi="Courier New"/>
          <w:b w:val="0"/>
          <w:i w:val="0"/>
          <w:color w:val="1B5E20"/>
          <w:sz w:val="17"/>
        </w:rPr>
        <w:t>OR = ( a × d ) / ( b × c )</w:t>
      </w:r>
    </w:p>
    <w:p>
      <w:pPr>
        <w:ind w:left="280"/>
      </w:pPr>
      <w:r>
        <w:rPr>
          <w:b/>
          <w:i/>
          <w:color w:val="333333"/>
          <w:sz w:val="16"/>
        </w:rPr>
        <w:t>Keterangan Variabel:</w:t>
        <w:br/>
      </w:r>
      <w:r>
        <w:rPr>
          <w:b/>
          <w:i w:val="0"/>
          <w:color w:val="1B5E20"/>
          <w:sz w:val="16"/>
        </w:rPr>
        <w:t xml:space="preserve">- a,b,c,d: </w:t>
      </w:r>
      <w:r>
        <w:rPr>
          <w:b w:val="0"/>
          <w:i w:val="0"/>
          <w:color w:val="444444"/>
          <w:sz w:val="16"/>
        </w:rPr>
        <w:t>Empat sel dalam tabel kontinjensi 2x2.</w:t>
      </w:r>
    </w:p>
    <w:p>
      <w:pPr>
        <w:spacing w:before="160" w:after="40"/>
      </w:pPr>
      <w:r>
        <w:rPr>
          <w:b/>
          <w:i w:val="0"/>
          <w:color w:val="2E7D32"/>
          <w:sz w:val="19"/>
        </w:rPr>
        <w:t>D. Matriks Hasil Uji Empiris: Skenario Crosstab Izin dan Deforestasi</w:t>
      </w:r>
    </w:p>
    <w:p>
      <w:pPr>
        <w:spacing w:before="120" w:after="40"/>
      </w:pPr>
      <w:r>
        <w:rPr>
          <w:b/>
          <w:i/>
          <w:color w:val="2E7D32"/>
          <w:sz w:val="17"/>
        </w:rPr>
        <w:t>Tabel 5.4: Ambang Median Panel Uji Crosstab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1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Variabel X</w:t>
            </w:r>
          </w:p>
        </w:tc>
        <w:tc>
          <w:tcPr>
            <w:tcW w:type="dxa" w:w="1928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Variabel Y</w:t>
            </w:r>
          </w:p>
        </w:tc>
        <w:tc>
          <w:tcPr>
            <w:tcW w:type="dxa" w:w="1247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Median X</w:t>
            </w:r>
          </w:p>
        </w:tc>
        <w:tc>
          <w:tcPr>
            <w:tcW w:type="dxa" w:w="1247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Median Y</w:t>
            </w:r>
          </w:p>
        </w:tc>
        <w:tc>
          <w:tcPr>
            <w:tcW w:type="dxa" w:w="794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Jumlah Izin Baru (IUP)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 Deforestasi Alam (Hektar)</w:t>
            </w:r>
          </w:p>
        </w:tc>
        <w:tc>
          <w:tcPr>
            <w:tcW w:type="dxa" w:w="1247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2.0</w:t>
            </w:r>
          </w:p>
        </w:tc>
        <w:tc>
          <w:tcPr>
            <w:tcW w:type="dxa" w:w="1247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15,917.7</w:t>
            </w:r>
          </w:p>
        </w:tc>
        <w:tc>
          <w:tcPr>
            <w:tcW w:type="dxa" w:w="79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60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Jumlah Izin Baru (IUP)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Deforestasi Komoditas Tambang/Sawit (Hektar)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2.0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10,961.8</w:t>
            </w:r>
          </w:p>
        </w:tc>
        <w:tc>
          <w:tcPr>
            <w:tcW w:type="dxa" w:w="79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60</w:t>
            </w:r>
          </w:p>
        </w:tc>
      </w:tr>
      <w:tr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Luas Konsesi Baru (Hektar)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 Deforestasi Alam (Hektar)</w:t>
            </w:r>
          </w:p>
        </w:tc>
        <w:tc>
          <w:tcPr>
            <w:tcW w:type="dxa" w:w="1247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2,011.5</w:t>
            </w:r>
          </w:p>
        </w:tc>
        <w:tc>
          <w:tcPr>
            <w:tcW w:type="dxa" w:w="1247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15,917.7</w:t>
            </w:r>
          </w:p>
        </w:tc>
        <w:tc>
          <w:tcPr>
            <w:tcW w:type="dxa" w:w="79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60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Luas Konsesi Baru (Hektar)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Deforestasi Komoditas Tambang/Sawit (Hektar)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2,011.5</w:t>
            </w:r>
          </w:p>
        </w:tc>
        <w:tc>
          <w:tcPr>
            <w:tcW w:type="dxa" w:w="1247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10,961.8</w:t>
            </w:r>
          </w:p>
        </w:tc>
        <w:tc>
          <w:tcPr>
            <w:tcW w:type="dxa" w:w="79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60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b/>
          <w:i/>
          <w:color w:val="2E7D32"/>
          <w:sz w:val="17"/>
        </w:rPr>
        <w:t>Tabel 5.5: Ringkasan Eksekutif Seluruh Skenario Crosstab Izin vs Deforestasi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701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Variabel Independen (X)</w:t>
            </w:r>
          </w:p>
        </w:tc>
        <w:tc>
          <w:tcPr>
            <w:tcW w:type="dxa" w:w="1928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Variabel Dependen (Y)</w:t>
            </w:r>
          </w:p>
        </w:tc>
        <w:tc>
          <w:tcPr>
            <w:tcW w:type="dxa" w:w="1020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Chi-Square</w:t>
            </w:r>
          </w:p>
        </w:tc>
        <w:tc>
          <w:tcPr>
            <w:tcW w:type="dxa" w:w="1020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P-Value</w:t>
            </w:r>
          </w:p>
        </w:tc>
        <w:tc>
          <w:tcPr>
            <w:tcW w:type="dxa" w:w="1020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Odds Ratio</w:t>
            </w:r>
          </w:p>
        </w:tc>
        <w:tc>
          <w:tcPr>
            <w:tcW w:type="dxa" w:w="1304"/>
            <w:shd w:val="clear" w:color="auto" w:fill="2E7D3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8" w:color="1B5E2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7"/>
              </w:rPr>
              <w:t>Kesimpulan</w:t>
            </w:r>
          </w:p>
        </w:tc>
      </w:tr>
      <w:tr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Jumlah Izin Baru (IUP)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 Deforestasi Alam (Hektar)</w:t>
            </w:r>
          </w:p>
        </w:tc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13.081</w:t>
            </w:r>
          </w:p>
        </w:tc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p &lt; 0.001</w:t>
            </w:r>
          </w:p>
        </w:tc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9.04</w:t>
            </w:r>
          </w:p>
        </w:tc>
        <w:tc>
          <w:tcPr>
            <w:tcW w:type="dxa" w:w="130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SIGNIFIKAN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Jumlah Izin Baru (IUP)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Deforestasi Komoditas Tambang/Sawit (Hektar)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17.086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p &lt; 0.001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13.14</w:t>
            </w:r>
          </w:p>
        </w:tc>
        <w:tc>
          <w:tcPr>
            <w:tcW w:type="dxa" w:w="130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SIGNIFIKAN</w:t>
            </w:r>
          </w:p>
        </w:tc>
      </w:tr>
      <w:tr>
        <w:tc>
          <w:tcPr>
            <w:tcW w:type="dxa" w:w="1701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Luas Konsesi Baru (Hektar)</w:t>
            </w:r>
          </w:p>
        </w:tc>
        <w:tc>
          <w:tcPr>
            <w:tcW w:type="dxa" w:w="1928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Total Deforestasi Alam (Hektar)</w:t>
            </w:r>
          </w:p>
        </w:tc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19.267</w:t>
            </w:r>
          </w:p>
        </w:tc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p &lt; 0.001</w:t>
            </w:r>
          </w:p>
        </w:tc>
        <w:tc>
          <w:tcPr>
            <w:tcW w:type="dxa" w:w="1020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16.00</w:t>
            </w:r>
          </w:p>
        </w:tc>
        <w:tc>
          <w:tcPr>
            <w:tcW w:type="dxa" w:w="1304"/>
            <w:shd w:val="clear" w:color="auto" w:fill="F5FBF5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SIGNIFIKAN</w:t>
            </w:r>
          </w:p>
        </w:tc>
      </w:tr>
      <w:tr>
        <w:tc>
          <w:tcPr>
            <w:tcW w:type="dxa" w:w="1701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Luas Konsesi Baru (Hektar)</w:t>
            </w:r>
          </w:p>
        </w:tc>
        <w:tc>
          <w:tcPr>
            <w:tcW w:type="dxa" w:w="1928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left"/>
            </w:pPr>
            <w:r>
              <w:rPr>
                <w:b w:val="0"/>
                <w:i w:val="0"/>
                <w:color w:val="222222"/>
                <w:sz w:val="17"/>
              </w:rPr>
              <w:t>Deforestasi Komoditas Tambang/Sawit (Hektar)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19.267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p &lt; 0.001</w:t>
            </w:r>
          </w:p>
        </w:tc>
        <w:tc>
          <w:tcPr>
            <w:tcW w:type="dxa" w:w="1020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16.00</w:t>
            </w:r>
          </w:p>
        </w:tc>
        <w:tc>
          <w:tcPr>
            <w:tcW w:type="dxa" w:w="1304"/>
            <w:shd w:val="clear" w:color="auto" w:fill="FFFF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4" w:color="D0D0D0" w:space="0"/>
              <w:left w:val="single" w:sz="4" w:color="D0D0D0" w:space="0"/>
              <w:bottom w:val="single" w:sz="4" w:color="D0D0D0" w:space="0"/>
              <w:right w:val="single" w:sz="4" w:color="D0D0D0" w:space="0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222222"/>
                <w:sz w:val="17"/>
              </w:rPr>
              <w:t>SIGNIFIKAN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i w:val="0"/>
          <w:color w:val="2E7D32"/>
          <w:sz w:val="19"/>
        </w:rPr>
        <w:t>E. Analisis Temuan Empiris: Signifikansi Korelasi Perizinan dan Ekstraksi Ekologis</w:t>
      </w:r>
    </w:p>
    <w:p>
      <w:pPr>
        <w:spacing w:after="100"/>
        <w:jc w:val="both"/>
      </w:pPr>
      <w:r>
        <w:rPr>
          <w:b w:val="0"/>
          <w:i w:val="0"/>
          <w:color w:val="222222"/>
          <w:sz w:val="19"/>
        </w:rPr>
        <w:t>Dari 4 skenario pengujian, terdapat 4 skenario yang terbukti SIGNIFIKAN. Tingginya Odds Ratio pada skenario signifikan menegaskan bahwa peningkatan penerbitan izin berasosiasi dengan risiko laju deforestasi yang lebih tinggi.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