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IV: METODOLOGI ANALISIS RUANG HIDUP YANG TERAMPAS</w:t>
      </w:r>
    </w:p>
    <w:p>
      <w:pPr>
        <w:spacing w:after="100"/>
        <w:jc w:val="both"/>
      </w:pPr>
      <w:r>
        <w:rPr>
          <w:b w:val="0"/>
          <w:i w:val="0"/>
          <w:color w:val="222222"/>
          <w:sz w:val="19"/>
        </w:rPr>
        <w:t xml:space="preserve">Dokumen laporan metodologi ini menyajikan kerangka ilmiah, prosedur pengolahan data, dan pembacaan empiris yang dioperasionalkan pada </w:t>
      </w:r>
      <w:r>
        <w:rPr>
          <w:b/>
          <w:i w:val="0"/>
          <w:color w:val="222222"/>
          <w:sz w:val="19"/>
        </w:rPr>
        <w:t>Bab 4: Ruang Hidup yang Terampas</w:t>
      </w:r>
      <w:r>
        <w:rPr>
          <w:b w:val="0"/>
          <w:i w:val="0"/>
          <w:color w:val="222222"/>
          <w:sz w:val="19"/>
        </w:rPr>
        <w:t xml:space="preserve"> dalam studi Daya Dukung dan Daya Tampung Lingkungan Hidup (D3TLH) Sulawesi.</w:t>
      </w:r>
    </w:p>
    <w:p>
      <w:pPr>
        <w:spacing w:before="240" w:after="80"/>
        <w:pBdr>
          <w:bottom w:val="single" w:sz="6" w:space="2" w:color="2E7D32"/>
        </w:pBdr>
      </w:pPr>
      <w:r>
        <w:rPr>
          <w:b/>
          <w:i w:val="0"/>
          <w:color w:val="2E7D32"/>
          <w:sz w:val="22"/>
        </w:rPr>
        <w:t>4.1 TREN ESKALASI KONFLIK AGRARIA SEIRING EKSPANSI INDUSTRI</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Catatan Konflik Agraria: data/processed/sulawesi_konflik_agraria_tanahkita.csv. Visualisasi dashboard menggunakan Analisis Tren Time-Series untuk melacak eskalasi letupan konflik agraria historis berdasarkan tahun pencatatan dan sektor pemicu.</w:t>
      </w:r>
    </w:p>
    <w:p>
      <w:pPr>
        <w:spacing w:before="160" w:after="40"/>
      </w:pPr>
      <w:r>
        <w:rPr>
          <w:b/>
          <w:i w:val="0"/>
          <w:color w:val="2E7D32"/>
          <w:sz w:val="19"/>
        </w:rPr>
        <w:t>A. Pengantar &amp; Kerangka Narasi</w:t>
      </w:r>
    </w:p>
    <w:p>
      <w:pPr>
        <w:spacing w:after="100"/>
        <w:jc w:val="both"/>
      </w:pPr>
      <w:r>
        <w:rPr>
          <w:b w:val="0"/>
          <w:i w:val="0"/>
          <w:color w:val="222222"/>
          <w:sz w:val="19"/>
        </w:rPr>
        <w:t xml:space="preserve">Ekspansi industri ekstraktif dan proyek strategis berimplikasi pada dinamika sosial dan penggunaan lahan masyarakat. Data empiris mencatat akumulasi 95 kasus konflik agraria, dengan estimasi 90,582 jiwa terdampak dan 51 kasus berstatus belum ditangani. </w:t>
      </w:r>
      <w:r>
        <w:rPr>
          <w:b w:val="0"/>
          <w:i w:val="0"/>
          <w:color w:val="222222"/>
          <w:sz w:val="19"/>
        </w:rPr>
        <w:t>Tiga sektor utama (Perkebunan, Kehutanan, dan Pertambangan) menyumbang porsi 82.1% dari keseluruhan catatan konflik regional.</w:t>
      </w:r>
    </w:p>
    <w:p>
      <w:pPr>
        <w:spacing w:after="100"/>
        <w:jc w:val="both"/>
      </w:pPr>
      <w:r>
        <w:rPr>
          <w:b w:val="0"/>
          <w:i w:val="0"/>
          <w:color w:val="222222"/>
          <w:sz w:val="19"/>
        </w:rPr>
        <w:t>Pada periode pra-2005, sistem pendataan mencatat 13 kasus konflik agraria. Pada periode pasca-2005 hingga saat ini, data mencatat 82 kasus konflik lahan, atau setara peningkatan sebesar 630.8% dibandingkan periode sebelumnya.</w:t>
      </w:r>
    </w:p>
    <w:p>
      <w:pPr>
        <w:spacing w:before="160" w:after="40"/>
      </w:pPr>
      <w:r>
        <w:rPr>
          <w:b/>
          <w:i w:val="0"/>
          <w:color w:val="2E7D32"/>
          <w:sz w:val="19"/>
        </w:rPr>
        <w:t>B. Alur Logika Metodologis Analisis Tren Time-Series</w:t>
      </w:r>
    </w:p>
    <w:p>
      <w:pPr>
        <w:spacing w:after="100"/>
        <w:jc w:val="both"/>
      </w:pPr>
      <w:r>
        <w:rPr>
          <w:b w:val="0"/>
          <w:i w:val="0"/>
          <w:color w:val="222222"/>
          <w:sz w:val="19"/>
        </w:rPr>
        <w:t xml:space="preserve">Kerangka analisis tren runtun waktu untuk melacak eskalasi kasus perampasan lahan secara historis diilustrasikan pada </w:t>
      </w:r>
      <w:r>
        <w:rPr>
          <w:b/>
          <w:i w:val="0"/>
          <w:color w:val="222222"/>
          <w:sz w:val="19"/>
        </w:rPr>
        <w:t>Bagan Alur 4.1</w:t>
      </w:r>
      <w:r>
        <w:rPr>
          <w:b w:val="0"/>
          <w:i w:val="0"/>
          <w:color w:val="222222"/>
          <w:sz w:val="19"/>
        </w:rPr>
        <w:t xml:space="preserve"> berikut. Sub-bab ini tidak menggunakan uji inferensial Chi-Square, melainkan agregasi time-series dan komparasi periodik.</w:t>
      </w:r>
    </w:p>
    <w:p>
      <w:pPr>
        <w:spacing w:before="120" w:after="40"/>
      </w:pPr>
      <w:r>
        <w:rPr>
          <w:b/>
          <w:i/>
          <w:color w:val="2E7D32"/>
          <w:sz w:val="17"/>
        </w:rPr>
        <w:t>Bagan Alur 4.1: Alur Logika Metodologis Time-Series Trend Analysis Konflik Agraria</w:t>
      </w:r>
    </w:p>
    <w:p>
      <w:pPr>
        <w:jc w:val="center"/>
      </w:pPr>
      <w:r>
        <w:drawing>
          <wp:inline xmlns:a="http://schemas.openxmlformats.org/drawingml/2006/main" xmlns:pic="http://schemas.openxmlformats.org/drawingml/2006/picture">
            <wp:extent cx="5400000" cy="796954"/>
            <wp:docPr id="1" name="Picture 1"/>
            <wp:cNvGraphicFramePr>
              <a:graphicFrameLocks noChangeAspect="1"/>
            </wp:cNvGraphicFramePr>
            <a:graphic>
              <a:graphicData uri="http://schemas.openxmlformats.org/drawingml/2006/picture">
                <pic:pic>
                  <pic:nvPicPr>
                    <pic:cNvPr id="0" name="mermaid_flowchart_4_1.png"/>
                    <pic:cNvPicPr/>
                  </pic:nvPicPr>
                  <pic:blipFill>
                    <a:blip r:embed="rId9"/>
                    <a:stretch>
                      <a:fillRect/>
                    </a:stretch>
                  </pic:blipFill>
                  <pic:spPr>
                    <a:xfrm>
                      <a:off x="0" y="0"/>
                      <a:ext cx="5400000" cy="796954"/>
                    </a:xfrm>
                    <a:prstGeom prst="rect"/>
                  </pic:spPr>
                </pic:pic>
              </a:graphicData>
            </a:graphic>
          </wp:inline>
        </w:drawing>
      </w:r>
    </w:p>
    <w:p>
      <w:pPr>
        <w:spacing w:before="160" w:after="40"/>
      </w:pPr>
      <w:r>
        <w:rPr>
          <w:b/>
          <w:i w:val="0"/>
          <w:color w:val="2E7D32"/>
          <w:sz w:val="19"/>
        </w:rPr>
        <w:t>C. Formulasi Matematis: Agregasi Konflik Tahunan dan Lonjakan Eskalasi</w:t>
      </w:r>
    </w:p>
    <w:p>
      <w:pPr>
        <w:spacing w:after="100"/>
        <w:jc w:val="both"/>
      </w:pPr>
      <w:r>
        <w:rPr>
          <w:b w:val="0"/>
          <w:i w:val="0"/>
          <w:color w:val="222222"/>
          <w:sz w:val="19"/>
        </w:rPr>
        <w:t>Agregasi konflik berdasarkan tahun pencatatan dan sektor industri dihitung menggunakan sistem formulasi matematis berikut:</w:t>
      </w:r>
    </w:p>
    <w:p>
      <w:pPr>
        <w:spacing w:before="120" w:after="20"/>
      </w:pPr>
      <w:r>
        <w:rPr>
          <w:b/>
          <w:i/>
          <w:color w:val="2E7D32"/>
          <w:sz w:val="17"/>
        </w:rPr>
        <w:t>Persamaan: Total Konflik Tahunan per Sektor</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K_{t,s} = Σ c_i, untuk setiap kasus i pada tahun t dan sektor s</w:t>
      </w:r>
    </w:p>
    <w:p>
      <w:pPr>
        <w:spacing w:before="40" w:after="120"/>
        <w:ind w:left="280"/>
      </w:pPr>
      <w:r>
        <w:rPr>
          <w:b/>
          <w:i/>
          <w:color w:val="333333"/>
          <w:sz w:val="16"/>
        </w:rPr>
        <w:t>Keterangan Variabel:</w:t>
        <w:br/>
      </w:r>
      <w:r>
        <w:rPr>
          <w:b/>
          <w:i w:val="0"/>
          <w:color w:val="1B5E20"/>
          <w:sz w:val="16"/>
        </w:rPr>
        <w:t xml:space="preserve">- K_{t,s}: </w:t>
      </w:r>
      <w:r>
        <w:rPr>
          <w:b w:val="0"/>
          <w:i w:val="0"/>
          <w:color w:val="444444"/>
          <w:sz w:val="16"/>
        </w:rPr>
        <w:t>Total letupan konflik pada tahun t dan sektor pemicu s.</w:t>
        <w:br/>
      </w:r>
      <w:r>
        <w:rPr>
          <w:b/>
          <w:i w:val="0"/>
          <w:color w:val="1B5E20"/>
          <w:sz w:val="16"/>
        </w:rPr>
        <w:t xml:space="preserve">- c_i: </w:t>
      </w:r>
      <w:r>
        <w:rPr>
          <w:b w:val="0"/>
          <w:i w:val="0"/>
          <w:color w:val="444444"/>
          <w:sz w:val="16"/>
        </w:rPr>
        <w:t>Indikator kasus konflik ke-i; bernilai 1 jika kasus masuk tahun t dan sektor s.</w:t>
        <w:br/>
      </w:r>
      <w:r>
        <w:rPr>
          <w:b/>
          <w:i w:val="0"/>
          <w:color w:val="1B5E20"/>
          <w:sz w:val="16"/>
        </w:rPr>
        <w:t xml:space="preserve">- t: </w:t>
      </w:r>
      <w:r>
        <w:rPr>
          <w:b w:val="0"/>
          <w:i w:val="0"/>
          <w:color w:val="444444"/>
          <w:sz w:val="16"/>
        </w:rPr>
        <w:t>Tahun pencatatan konflik.</w:t>
        <w:br/>
      </w:r>
      <w:r>
        <w:rPr>
          <w:b/>
          <w:i w:val="0"/>
          <w:color w:val="1B5E20"/>
          <w:sz w:val="16"/>
        </w:rPr>
        <w:t xml:space="preserve">- s: </w:t>
      </w:r>
      <w:r>
        <w:rPr>
          <w:b w:val="0"/>
          <w:i w:val="0"/>
          <w:color w:val="444444"/>
          <w:sz w:val="16"/>
        </w:rPr>
        <w:t>Sektor pemicu konflik: Perkebunan, Kehutanan, Pertambangan, Infrastruktur &amp; PSN, Pariwisata &amp; Pesisir, atau Lainnya.</w:t>
      </w:r>
    </w:p>
    <w:p>
      <w:pPr>
        <w:spacing w:before="120" w:after="20"/>
      </w:pPr>
      <w:r>
        <w:rPr>
          <w:b/>
          <w:i/>
          <w:color w:val="2E7D32"/>
          <w:sz w:val="17"/>
        </w:rPr>
        <w:t>Persamaan: Lonjakan Eskalasi Pasca-2005</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E (%) = ( K_Pasca / K_Pra ) × 100</w:t>
      </w:r>
    </w:p>
    <w:p>
      <w:pPr>
        <w:spacing w:before="40" w:after="120"/>
        <w:ind w:left="280"/>
      </w:pPr>
      <w:r>
        <w:rPr>
          <w:b/>
          <w:i/>
          <w:color w:val="333333"/>
          <w:sz w:val="16"/>
        </w:rPr>
        <w:t>Keterangan Variabel:</w:t>
        <w:br/>
      </w:r>
      <w:r>
        <w:rPr>
          <w:b/>
          <w:i w:val="0"/>
          <w:color w:val="1B5E20"/>
          <w:sz w:val="16"/>
        </w:rPr>
        <w:t xml:space="preserve">- E (%): </w:t>
      </w:r>
      <w:r>
        <w:rPr>
          <w:b w:val="0"/>
          <w:i w:val="0"/>
          <w:color w:val="444444"/>
          <w:sz w:val="16"/>
        </w:rPr>
        <w:t>Rasio eskalasi konflik pasca-2005 terhadap periode pra-2005.</w:t>
        <w:br/>
      </w:r>
      <w:r>
        <w:rPr>
          <w:b/>
          <w:i w:val="0"/>
          <w:color w:val="1B5E20"/>
          <w:sz w:val="16"/>
        </w:rPr>
        <w:t xml:space="preserve">- K_Pasca: </w:t>
      </w:r>
      <w:r>
        <w:rPr>
          <w:b w:val="0"/>
          <w:i w:val="0"/>
          <w:color w:val="444444"/>
          <w:sz w:val="16"/>
        </w:rPr>
        <w:t>Jumlah konflik periode pasca-2005 (82 kasus).</w:t>
        <w:br/>
      </w:r>
      <w:r>
        <w:rPr>
          <w:b/>
          <w:i w:val="0"/>
          <w:color w:val="1B5E20"/>
          <w:sz w:val="16"/>
        </w:rPr>
        <w:t xml:space="preserve">- K_Pra: </w:t>
      </w:r>
      <w:r>
        <w:rPr>
          <w:b w:val="0"/>
          <w:i w:val="0"/>
          <w:color w:val="444444"/>
          <w:sz w:val="16"/>
        </w:rPr>
        <w:t>Jumlah konflik periode pra-2005 (13 kasus).</w:t>
      </w:r>
    </w:p>
    <w:p>
      <w:pPr>
        <w:spacing w:before="120" w:after="20"/>
      </w:pPr>
      <w:r>
        <w:rPr>
          <w:b/>
          <w:i/>
          <w:color w:val="2E7D32"/>
          <w:sz w:val="17"/>
        </w:rPr>
        <w:t>Persamaan: Substitusi Lonjakan Eskalasi</w:t>
      </w:r>
    </w:p>
    <w:p>
      <w:pPr>
        <w:spacing w:before="0"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E = (82 / 13) × 100 = 630.8%</w:t>
      </w:r>
    </w:p>
    <w:p>
      <w:pPr>
        <w:spacing w:before="160" w:after="40"/>
      </w:pPr>
      <w:r>
        <w:rPr>
          <w:b/>
          <w:i w:val="0"/>
          <w:color w:val="2E7D32"/>
          <w:sz w:val="19"/>
        </w:rPr>
        <w:t>D. Matriks Hasil Uji Empiris: Tren Tahunan dan Sektor Pemicu Konflik</w:t>
      </w:r>
    </w:p>
    <w:p>
      <w:pPr>
        <w:spacing w:after="100"/>
        <w:jc w:val="both"/>
      </w:pPr>
      <w:r>
        <w:rPr>
          <w:b w:val="0"/>
          <w:i w:val="0"/>
          <w:color w:val="222222"/>
          <w:sz w:val="19"/>
        </w:rPr>
        <w:t>Distribusi jumlah konflik agraria modern sejak 1990 disajikan pada Tabel 4.1 berikut:</w:t>
      </w:r>
    </w:p>
    <w:p>
      <w:pPr>
        <w:spacing w:before="120" w:after="40"/>
      </w:pPr>
      <w:r>
        <w:rPr>
          <w:b/>
          <w:i/>
          <w:color w:val="2E7D32"/>
          <w:sz w:val="17"/>
        </w:rPr>
        <w:t>Tabel 4.1: Tren Tahunan Konflik Agraria Regional (1990-2025)</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Tahun</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Jumlah Konflik</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1996</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1997</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1999</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2000</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2001</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2003</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2004</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2007</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2008</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2009</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2010</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2011</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2012</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2013</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2014</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2015</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2016</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2018</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2021</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r>
      <w:tr>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w:t>
            </w:r>
          </w:p>
        </w:tc>
      </w:tr>
      <w:tr>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r>
    </w:tbl>
    <w:p>
      <w:pPr>
        <w:spacing w:after="80"/>
      </w:pPr>
    </w:p>
    <w:p>
      <w:pPr>
        <w:spacing w:before="120" w:after="40"/>
      </w:pPr>
      <w:r>
        <w:rPr>
          <w:b/>
          <w:i/>
          <w:color w:val="2E7D32"/>
          <w:sz w:val="17"/>
        </w:rPr>
        <w:t>Tabel 4.2: Distribusi Konflik Agraria menurut Sektor Pemicu</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11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Sektor Pemicu</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Jumlah Konflik</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Proporsi</w:t>
            </w:r>
          </w:p>
        </w:tc>
      </w:tr>
      <w:tr>
        <w:tc>
          <w:tcPr>
            <w:tcW w:type="dxa" w:w="311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Kehutanan</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30</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32.6%</w:t>
            </w:r>
          </w:p>
        </w:tc>
      </w:tr>
      <w:tr>
        <w:tc>
          <w:tcPr>
            <w:tcW w:type="dxa" w:w="311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Perkebunan</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23</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25.0%</w:t>
            </w:r>
          </w:p>
        </w:tc>
      </w:tr>
      <w:tr>
        <w:tc>
          <w:tcPr>
            <w:tcW w:type="dxa" w:w="311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Pertambangan</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22</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23.9%</w:t>
            </w:r>
          </w:p>
        </w:tc>
      </w:tr>
      <w:tr>
        <w:tc>
          <w:tcPr>
            <w:tcW w:type="dxa" w:w="311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Infrastruktur &amp; PSN</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14</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15.2%</w:t>
            </w:r>
          </w:p>
        </w:tc>
      </w:tr>
      <w:tr>
        <w:tc>
          <w:tcPr>
            <w:tcW w:type="dxa" w:w="311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Pariwisata &amp; Pesisir</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3.3%</w:t>
            </w:r>
          </w:p>
        </w:tc>
      </w:tr>
    </w:tbl>
    <w:p>
      <w:pPr>
        <w:spacing w:after="80"/>
      </w:pPr>
    </w:p>
    <w:p>
      <w:pPr>
        <w:spacing w:before="120" w:after="40"/>
      </w:pPr>
      <w:r>
        <w:rPr>
          <w:b/>
          <w:i/>
          <w:color w:val="2E7D32"/>
          <w:sz w:val="17"/>
        </w:rPr>
        <w:t>Tabel 4.3: Komposisi Sektor pada Tahun Puncak Insidensi (2017)</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417"/>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Tahun</w:t>
            </w:r>
          </w:p>
        </w:tc>
        <w:tc>
          <w:tcPr>
            <w:tcW w:type="dxa" w:w="3118"/>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left"/>
            </w:pPr>
            <w:r>
              <w:rPr>
                <w:b/>
                <w:i w:val="0"/>
                <w:color w:val="FFFFFF"/>
                <w:sz w:val="17"/>
              </w:rPr>
              <w:t>Sektor Pemicu</w:t>
            </w:r>
          </w:p>
        </w:tc>
        <w:tc>
          <w:tcPr>
            <w:tcW w:type="dxa" w:w="1701"/>
            <w:shd w:val="clear" w:color="auto" w:fill="2E7D32"/>
            <w:tcMar>
              <w:top w:w="70" w:type="dxa"/>
              <w:bottom w:w="70" w:type="dxa"/>
              <w:left w:w="100" w:type="dxa"/>
              <w:right w:w="100" w:type="dxa"/>
            </w:tcMar>
            <w:tcBorders>
              <w:top w:val="single" w:sz="4" w:color="D0D0D0" w:space="0"/>
              <w:left w:val="single" w:sz="4" w:color="D0D0D0" w:space="0"/>
              <w:bottom w:val="single" w:sz="8" w:color="1B5E20" w:space="0"/>
              <w:right w:val="single" w:sz="4" w:color="D0D0D0" w:space="0"/>
            </w:tcBorders>
          </w:tcPr>
          <w:p>
            <w:pPr>
              <w:jc w:val="center"/>
            </w:pPr>
            <w:r>
              <w:rPr>
                <w:b/>
                <w:i w:val="0"/>
                <w:color w:val="FFFFFF"/>
                <w:sz w:val="17"/>
              </w:rPr>
              <w:t>Jumlah Konflik</w:t>
            </w:r>
          </w:p>
        </w:tc>
      </w:tr>
      <w:tr>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311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Kehutanan</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311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Perkebunan</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r>
      <w:tr>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311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Pertambangan</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311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Infrastruktur &amp; PSN</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r>
      <w:tr>
        <w:tc>
          <w:tcPr>
            <w:tcW w:type="dxa" w:w="1417"/>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3118"/>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Pariwisata &amp; Pesisir</w:t>
            </w:r>
          </w:p>
        </w:tc>
        <w:tc>
          <w:tcPr>
            <w:tcW w:type="dxa" w:w="1701"/>
            <w:shd w:val="clear" w:color="auto" w:fill="F5FB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r>
    </w:tbl>
    <w:p>
      <w:pPr>
        <w:spacing w:after="80"/>
      </w:pPr>
    </w:p>
    <w:p>
      <w:pPr>
        <w:spacing w:before="160" w:after="40"/>
      </w:pPr>
      <w:r>
        <w:rPr>
          <w:b/>
          <w:i w:val="0"/>
          <w:color w:val="2E7D32"/>
          <w:sz w:val="19"/>
        </w:rPr>
        <w:t>E. Analisis Temuan Empiris: Puncak Insidensi dan Eskalasi Konflik</w:t>
      </w:r>
    </w:p>
    <w:p>
      <w:pPr>
        <w:spacing w:after="100"/>
        <w:jc w:val="both"/>
      </w:pPr>
      <w:r>
        <w:rPr>
          <w:b w:val="0"/>
          <w:i w:val="0"/>
          <w:color w:val="222222"/>
          <w:sz w:val="19"/>
        </w:rPr>
        <w:t xml:space="preserve">Grafik time-series pada dashboard memperlihatkan peningkatan insidensi konflik yang memuncak pada tahun 2017 dengan 21 kasus konflik. Pembedahan data sektoral menunjukkan konsentrasi konflik pada sektor-sektor berbasis penguasaan ruang. </w:t>
      </w:r>
      <w:r>
        <w:rPr>
          <w:b w:val="0"/>
          <w:i w:val="0"/>
          <w:color w:val="222222"/>
          <w:sz w:val="19"/>
        </w:rPr>
        <w:t>Peningkatan insidensi konflik beririsan dengan dinamika perizinan kawasan, sehingga pengelolaan alokasi ruang dan perlindungan hak masyarakat di wilayah investasi menjadi faktor penting untuk meminimalkan dampak sosial.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