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II: METODOLOGI ANALISIS KUALITAS LINGKUNGAN DI KAWASAN SMELTER</w:t>
      </w:r>
    </w:p>
    <w:p>
      <w:pPr>
        <w:spacing w:after="100"/>
        <w:jc w:val="both"/>
      </w:pPr>
      <w:r>
        <w:rPr>
          <w:b w:val="0"/>
          <w:i w:val="0"/>
          <w:color w:val="222222"/>
          <w:sz w:val="19"/>
        </w:rPr>
        <w:t xml:space="preserve">Dokumen laporan metodologi ini menyajikan kerangka ilmiah, formulasi matematis, prosedur pengolahan data, dan pengujian statistik yang dioperasionalkan pada </w:t>
      </w:r>
      <w:r>
        <w:rPr>
          <w:b/>
          <w:i w:val="0"/>
          <w:color w:val="222222"/>
          <w:sz w:val="19"/>
        </w:rPr>
        <w:t>Bab 2: Kualitas Lingkungan di Kawasan Smelter</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2.1. DAMPAK LIMBAH TAILING: KONSENTRASI SMELTER VS INDEKS KUALITAS AIR (IKA)</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Smelter: data/processed/sulawesi_esdm_nikel.csv; Data IKA: data/processed/sulawesi_ika_2016_2024.csv; Data Limbah B3: data/processed/sulawesi_limbah_b3_ngo_proxy.csv; Data Pencemaran Sungai: data/processed/sulawesi_sungai_tercemar.csv. Visualisasi dashboard menampilkan peta choropleth IKA BPS, timbulan limbah B3, kasus pencemaran sungai, dan uji Crosstabulation SPSS-style.</w:t>
      </w:r>
    </w:p>
    <w:p>
      <w:pPr>
        <w:spacing w:before="160" w:after="40"/>
      </w:pPr>
      <w:r>
        <w:rPr>
          <w:b/>
          <w:i w:val="0"/>
          <w:color w:val="2E7D32"/>
          <w:sz w:val="19"/>
        </w:rPr>
        <w:t>A. Pengantar &amp; Kerangka Narasi</w:t>
      </w:r>
    </w:p>
    <w:p>
      <w:pPr>
        <w:spacing w:after="100"/>
        <w:jc w:val="both"/>
      </w:pPr>
      <w:r>
        <w:rPr>
          <w:b w:val="0"/>
          <w:i w:val="0"/>
          <w:color w:val="222222"/>
          <w:sz w:val="19"/>
        </w:rPr>
        <w:t xml:space="preserve">Pengoperasian 778 fasilitas mega-smelter yang didukung oleh kapasitas 9,825 MW PLTU Captive meningkatkan intensitas emisi dan beban lingkungan di Pulau Sulawesi. </w:t>
      </w:r>
      <w:r>
        <w:rPr>
          <w:b w:val="0"/>
          <w:i w:val="0"/>
          <w:color w:val="222222"/>
          <w:sz w:val="19"/>
        </w:rPr>
        <w:t xml:space="preserve">Aktivitas pengolahan bijih nikel (smelter) berimplikasi pada timbulan limbah tailing dan terak (slag). </w:t>
      </w:r>
      <w:r>
        <w:rPr>
          <w:b w:val="0"/>
          <w:i w:val="0"/>
          <w:color w:val="222222"/>
          <w:sz w:val="19"/>
        </w:rPr>
        <w:t xml:space="preserve">Data menunjukkan bahwa konversi tutupan hutan mencapai 1,001,654 Hektar dengan estimasi timbulan limbah B3/tailing sebesar 20.9 Juta Ton per tahun. </w:t>
      </w:r>
      <w:r>
        <w:rPr>
          <w:b w:val="0"/>
          <w:i w:val="0"/>
          <w:color w:val="222222"/>
          <w:sz w:val="19"/>
        </w:rPr>
        <w:t>Rata-rata Indeks Kualitas Air (IKA) pada tahun 2024 berada pada tingkat 59.7 poin.</w:t>
      </w:r>
    </w:p>
    <w:p>
      <w:pPr>
        <w:spacing w:after="100"/>
        <w:jc w:val="both"/>
      </w:pPr>
      <w:r>
        <w:rPr>
          <w:b w:val="0"/>
          <w:i w:val="0"/>
          <w:color w:val="222222"/>
          <w:sz w:val="19"/>
        </w:rPr>
        <w:t xml:space="preserve">Peta geospasial dan agregasi data dashboard memetakan sebaran 778 fasilitas smelter, dengan konsentrasi utama berada di Sulawesi Tengah (344 fasilitas smelter) dan Sulawesi Tenggara (262 fasilitas smelter). </w:t>
      </w:r>
      <w:r>
        <w:rPr>
          <w:b w:val="0"/>
          <w:i w:val="0"/>
          <w:color w:val="222222"/>
          <w:sz w:val="19"/>
        </w:rPr>
        <w:t>Pada tahun 2024, IKA tercatat 62.1 poin di Sulawesi Tengah dan 65.3 poin di Sulawesi Tenggara. Sub-bab ini menguji hipotesis: apakah kepadatan smelter berkorelasi secara signifikan dengan penurunan Indeks Kualitas Air (IKA)?</w:t>
      </w:r>
    </w:p>
    <w:p>
      <w:pPr>
        <w:spacing w:before="160" w:after="40"/>
      </w:pPr>
      <w:r>
        <w:rPr>
          <w:b/>
          <w:i w:val="0"/>
          <w:color w:val="2E7D32"/>
          <w:sz w:val="19"/>
        </w:rPr>
        <w:t>B. Alur Logika Metodologis Analisis Konsentrasi Smelter vs IKA</w:t>
      </w:r>
    </w:p>
    <w:p>
      <w:pPr>
        <w:spacing w:after="100"/>
        <w:jc w:val="both"/>
      </w:pPr>
      <w:r>
        <w:rPr>
          <w:b w:val="0"/>
          <w:i w:val="0"/>
          <w:color w:val="222222"/>
          <w:sz w:val="19"/>
        </w:rPr>
        <w:t xml:space="preserve">Pendekatan statistik trendline untuk membaca hubungan konsentrasi smelter, IKA, dan konteks limbah/sungai tercemar diilustrasikan pada </w:t>
      </w:r>
      <w:r>
        <w:rPr>
          <w:b/>
          <w:i w:val="0"/>
          <w:color w:val="222222"/>
          <w:sz w:val="19"/>
        </w:rPr>
        <w:t>Bagan Alur 2.1</w:t>
      </w:r>
      <w:r>
        <w:rPr>
          <w:b w:val="0"/>
          <w:i w:val="0"/>
          <w:color w:val="222222"/>
          <w:sz w:val="19"/>
        </w:rPr>
        <w:t xml:space="preserve"> berikut. Adapun untuk tahapan analisis inferensial (Uji Chi-Square), alur logikanya diringkas melalui tabel konfigurasi variabel di bawah gambar.</w:t>
      </w:r>
    </w:p>
    <w:p>
      <w:pPr>
        <w:spacing w:before="120" w:after="40"/>
      </w:pPr>
      <w:r>
        <w:rPr>
          <w:b/>
          <w:i/>
          <w:color w:val="2E7D32"/>
          <w:sz w:val="17"/>
        </w:rPr>
        <w:t>Bagan Alur 2.1: Alur Logika Analisis Trendline Konsentrasi Smelter vs IKA</w:t>
      </w:r>
    </w:p>
    <w:p>
      <w:pPr>
        <w:jc w:val="center"/>
      </w:pPr>
      <w:r>
        <w:drawing>
          <wp:inline xmlns:a="http://schemas.openxmlformats.org/drawingml/2006/main" xmlns:pic="http://schemas.openxmlformats.org/drawingml/2006/picture">
            <wp:extent cx="5400000" cy="2034303"/>
            <wp:docPr id="1" name="Picture 1"/>
            <wp:cNvGraphicFramePr>
              <a:graphicFrameLocks noChangeAspect="1"/>
            </wp:cNvGraphicFramePr>
            <a:graphic>
              <a:graphicData uri="http://schemas.openxmlformats.org/drawingml/2006/picture">
                <pic:pic>
                  <pic:nvPicPr>
                    <pic:cNvPr id="0" name="mermaid_flowchart_2_1.png"/>
                    <pic:cNvPicPr/>
                  </pic:nvPicPr>
                  <pic:blipFill>
                    <a:blip r:embed="rId9"/>
                    <a:stretch>
                      <a:fillRect/>
                    </a:stretch>
                  </pic:blipFill>
                  <pic:spPr>
                    <a:xfrm>
                      <a:off x="0" y="0"/>
                      <a:ext cx="5400000" cy="2034303"/>
                    </a:xfrm>
                    <a:prstGeom prst="rect"/>
                  </pic:spPr>
                </pic:pic>
              </a:graphicData>
            </a:graphic>
          </wp:inline>
        </w:drawing>
      </w:r>
    </w:p>
    <w:p>
      <w:pPr>
        <w:spacing w:before="40" w:after="80"/>
      </w:pPr>
    </w:p>
    <w:p>
      <w:pPr>
        <w:spacing w:after="100"/>
        <w:jc w:val="both"/>
      </w:pPr>
      <w:r>
        <w:rPr>
          <w:b w:val="0"/>
          <w:i w:val="0"/>
          <w:color w:val="222222"/>
          <w:sz w:val="19"/>
        </w:rPr>
        <w:t xml:space="preserve">Sebagai opsi ringkas pengganti bagan alur crosstab yang terlalu panjang, konfigurasi variabel pengujian Chi-Square disajikan pada </w:t>
      </w:r>
      <w:r>
        <w:rPr>
          <w:b/>
          <w:i w:val="0"/>
          <w:color w:val="222222"/>
          <w:sz w:val="19"/>
        </w:rPr>
        <w:t>Tabel 2.1a</w:t>
      </w:r>
      <w:r>
        <w:rPr>
          <w:b w:val="0"/>
          <w:i w:val="0"/>
          <w:color w:val="222222"/>
          <w:sz w:val="19"/>
        </w:rPr>
        <w:t xml:space="preserve"> berikut:</w:t>
      </w:r>
    </w:p>
    <w:p>
      <w:pPr>
        <w:spacing w:before="120" w:after="40"/>
      </w:pPr>
      <w:r>
        <w:rPr>
          <w:b/>
          <w:i/>
          <w:color w:val="2E7D32"/>
          <w:sz w:val="17"/>
        </w:rPr>
        <w:t>Tabel 2.1a: Konfigurasi Variabel Uji Chi-Square (Sub-bab 2.1)</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2.1)</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Jumlah_Smelter: Total fasilitas smelter (beroperasi maupun konstruksi).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Indeks Kualitas Air: Skor baku mutu air per provinsi.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Tidak ada hubungan signifikan secara statistik antara kepadatan smelter dengan Indeks Kualitas Air.</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Decision Rule (Alpha 5%)</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Jika P-Value &lt; 0.05, maka Tolak H0 (Terbukti signifikan bahwa smelter menurunkan mutu air).</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Nilai Median Data Panel 2016-2024 (N=54); variabel kontinu dikonversi menjadi biner.</w:t>
            </w:r>
          </w:p>
        </w:tc>
      </w:tr>
    </w:tbl>
    <w:p>
      <w:pPr>
        <w:spacing w:before="40" w:after="80"/>
      </w:pPr>
    </w:p>
    <w:p>
      <w:pPr>
        <w:spacing w:before="160" w:after="40"/>
      </w:pPr>
      <w:r>
        <w:rPr>
          <w:b/>
          <w:i w:val="0"/>
          <w:color w:val="2E7D32"/>
          <w:sz w:val="19"/>
        </w:rPr>
        <w:t>C. Formulasi Matematis: Kalkulasi Konsentrasi Spasial &amp; Uji Chi-Square</w:t>
      </w:r>
    </w:p>
    <w:p>
      <w:pPr>
        <w:spacing w:after="100"/>
        <w:jc w:val="both"/>
      </w:pPr>
      <w:r>
        <w:rPr>
          <w:b w:val="0"/>
          <w:i w:val="0"/>
          <w:color w:val="222222"/>
          <w:sz w:val="19"/>
        </w:rPr>
        <w:t>Parameterisasi konsentrasi spasial dan pembuktian statistik dihitung menggunakan sistem formulasi matematis berikut:</w:t>
      </w:r>
    </w:p>
    <w:p>
      <w:pPr>
        <w:spacing w:before="120" w:after="20"/>
      </w:pPr>
      <w:r>
        <w:rPr>
          <w:b/>
          <w:i/>
          <w:color w:val="2E7D32"/>
          <w:sz w:val="17"/>
        </w:rPr>
        <w:t>Persamaan: Persamaan Agregasi Jumlah Smelter per Provinsi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S_p = Σ s_i, untuk setiap fasilitas i yang berada di provinsi p</w:t>
      </w:r>
    </w:p>
    <w:p>
      <w:pPr>
        <w:spacing w:before="40" w:after="120"/>
        <w:ind w:left="280"/>
      </w:pPr>
      <w:r>
        <w:rPr>
          <w:b/>
          <w:i/>
          <w:color w:val="333333"/>
          <w:sz w:val="16"/>
        </w:rPr>
        <w:t>Keterangan Variabel:</w:t>
        <w:br/>
      </w:r>
      <w:r>
        <w:rPr>
          <w:b/>
          <w:i w:val="0"/>
          <w:color w:val="1B5E20"/>
          <w:sz w:val="16"/>
        </w:rPr>
        <w:t xml:space="preserve">- S_p: </w:t>
      </w:r>
      <w:r>
        <w:rPr>
          <w:b w:val="0"/>
          <w:i w:val="0"/>
          <w:color w:val="444444"/>
          <w:sz w:val="16"/>
        </w:rPr>
        <w:t>Total fasilitas smelter pada provinsi p.</w:t>
        <w:br/>
      </w:r>
      <w:r>
        <w:rPr>
          <w:b/>
          <w:i w:val="0"/>
          <w:color w:val="1B5E20"/>
          <w:sz w:val="16"/>
        </w:rPr>
        <w:t xml:space="preserve">- s_i: </w:t>
      </w:r>
      <w:r>
        <w:rPr>
          <w:b w:val="0"/>
          <w:i w:val="0"/>
          <w:color w:val="444444"/>
          <w:sz w:val="16"/>
        </w:rPr>
        <w:t>Indikator keberadaan fasilitas smelter ke-i; bernilai 1 jika fasilitas berada di provinsi p.</w:t>
        <w:br/>
      </w:r>
      <w:r>
        <w:rPr>
          <w:b/>
          <w:i w:val="0"/>
          <w:color w:val="1B5E20"/>
          <w:sz w:val="16"/>
        </w:rPr>
        <w:t xml:space="preserve">- p: </w:t>
      </w:r>
      <w:r>
        <w:rPr>
          <w:b w:val="0"/>
          <w:i w:val="0"/>
          <w:color w:val="444444"/>
          <w:sz w:val="16"/>
        </w:rPr>
        <w:t>Provinsi observasi di Pulau Sulawesi.</w:t>
      </w:r>
    </w:p>
    <w:p>
      <w:pPr>
        <w:spacing w:before="120" w:after="20"/>
      </w:pPr>
      <w:r>
        <w:rPr>
          <w:b/>
          <w:i/>
          <w:color w:val="2E7D32"/>
          <w:sz w:val="17"/>
        </w:rPr>
        <w:t>Persamaan: Persamaan Rata-rata Indeks Kualitas Air Panel Provinsi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IKĀ_{p,t} = (1 / n_{p,t}) × Σ IKA_{j,p,t}</w:t>
      </w:r>
    </w:p>
    <w:p>
      <w:pPr>
        <w:spacing w:before="40" w:after="120"/>
        <w:ind w:left="280"/>
      </w:pPr>
      <w:r>
        <w:rPr>
          <w:b/>
          <w:i/>
          <w:color w:val="333333"/>
          <w:sz w:val="16"/>
        </w:rPr>
        <w:t>Keterangan Variabel:</w:t>
        <w:br/>
      </w:r>
      <w:r>
        <w:rPr>
          <w:b/>
          <w:i w:val="0"/>
          <w:color w:val="1B5E20"/>
          <w:sz w:val="16"/>
        </w:rPr>
        <w:t xml:space="preserve">- IKĀ_{p,t}: </w:t>
      </w:r>
      <w:r>
        <w:rPr>
          <w:b w:val="0"/>
          <w:i w:val="0"/>
          <w:color w:val="444444"/>
          <w:sz w:val="16"/>
        </w:rPr>
        <w:t>Rata-rata Indeks Kualitas Air pada provinsi p dan tahun t.</w:t>
        <w:br/>
      </w:r>
      <w:r>
        <w:rPr>
          <w:b/>
          <w:i w:val="0"/>
          <w:color w:val="1B5E20"/>
          <w:sz w:val="16"/>
        </w:rPr>
        <w:t xml:space="preserve">- IKA_{j,p,t}: </w:t>
      </w:r>
      <w:r>
        <w:rPr>
          <w:b w:val="0"/>
          <w:i w:val="0"/>
          <w:color w:val="444444"/>
          <w:sz w:val="16"/>
        </w:rPr>
        <w:t>Nilai pengamatan Indeks Kualitas Air ke-j pada provinsi p dan tahun t.</w:t>
        <w:br/>
      </w:r>
      <w:r>
        <w:rPr>
          <w:b/>
          <w:i w:val="0"/>
          <w:color w:val="1B5E20"/>
          <w:sz w:val="16"/>
        </w:rPr>
        <w:t xml:space="preserve">- n_{p,t}: </w:t>
      </w:r>
      <w:r>
        <w:rPr>
          <w:b w:val="0"/>
          <w:i w:val="0"/>
          <w:color w:val="444444"/>
          <w:sz w:val="16"/>
        </w:rPr>
        <w:t>Jumlah pengamatan IKA yang tersedia pada provinsi p dan tahun t.</w:t>
      </w:r>
    </w:p>
    <w:p>
      <w:pPr>
        <w:spacing w:before="120" w:after="20"/>
      </w:pPr>
      <w:r>
        <w:rPr>
          <w:b/>
          <w:i/>
          <w:color w:val="2E7D32"/>
          <w:sz w:val="17"/>
        </w:rPr>
        <w:t>Persamaan: Persamaan Kategorisasi Median Panel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K_x = Tinggi jika X_{p,t} ≥ M_X; K_y = Baik jika Y_{p,t} ≥ M_Y</w:t>
      </w:r>
    </w:p>
    <w:p>
      <w:pPr>
        <w:spacing w:before="40" w:after="120"/>
        <w:ind w:left="280"/>
      </w:pPr>
      <w:r>
        <w:rPr>
          <w:b/>
          <w:i/>
          <w:color w:val="333333"/>
          <w:sz w:val="16"/>
        </w:rPr>
        <w:t>Keterangan Variabel:</w:t>
        <w:br/>
      </w:r>
      <w:r>
        <w:rPr>
          <w:b/>
          <w:i w:val="0"/>
          <w:color w:val="1B5E20"/>
          <w:sz w:val="16"/>
        </w:rPr>
        <w:t xml:space="preserve">- Kategori Smelter: </w:t>
      </w:r>
      <w:r>
        <w:rPr>
          <w:b w:val="0"/>
          <w:i w:val="0"/>
          <w:color w:val="444444"/>
          <w:sz w:val="16"/>
        </w:rPr>
        <w:t>Smelter Tinggi jika Jumlah_Smelter_Provinsi &gt;= median panel (75.0 fasilitas); selain itu Smelter Rendah.</w:t>
        <w:br/>
      </w:r>
      <w:r>
        <w:rPr>
          <w:b/>
          <w:i w:val="0"/>
          <w:color w:val="1B5E20"/>
          <w:sz w:val="16"/>
        </w:rPr>
        <w:t xml:space="preserve">- Kategori IKA: </w:t>
      </w:r>
      <w:r>
        <w:rPr>
          <w:b w:val="0"/>
          <w:i w:val="0"/>
          <w:color w:val="444444"/>
          <w:sz w:val="16"/>
        </w:rPr>
        <w:t>IKA Baik jika Indeks Kualitas Air &gt;= median panel (55.9 poin); selain itu IKA Kritis.</w:t>
        <w:br/>
      </w:r>
      <w:r>
        <w:rPr>
          <w:b/>
          <w:i w:val="0"/>
          <w:color w:val="1B5E20"/>
          <w:sz w:val="16"/>
        </w:rPr>
        <w:t xml:space="preserve">- M_X dan M_Y: </w:t>
      </w:r>
      <w:r>
        <w:rPr>
          <w:b w:val="0"/>
          <w:i w:val="0"/>
          <w:color w:val="444444"/>
          <w:sz w:val="16"/>
        </w:rPr>
        <w:t>Nilai median masing-masing variabel pada seluruh observasi panel valid N=54.</w:t>
      </w:r>
    </w:p>
    <w:p>
      <w:pPr>
        <w:spacing w:before="120" w:after="20"/>
      </w:pPr>
      <w:r>
        <w:rPr>
          <w:b/>
          <w:i/>
          <w:color w:val="2E7D32"/>
          <w:sz w:val="17"/>
        </w:rPr>
        <w:t>Persamaan: Persamaan Uji Independensi Chi-Square Pearson (χ²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kepadatan smelter dan Indeks Kualitas Air pada panel spasiotemporal N=54.</w:t>
        <w:br/>
      </w:r>
      <w:r>
        <w:rPr>
          <w:b/>
          <w:i w:val="0"/>
          <w:color w:val="1B5E20"/>
          <w:sz w:val="16"/>
        </w:rPr>
        <w:t xml:space="preserve">- Frekuensi_Observasi (O): </w:t>
      </w:r>
      <w:r>
        <w:rPr>
          <w:b w:val="0"/>
          <w:i w:val="0"/>
          <w:color w:val="444444"/>
          <w:sz w:val="16"/>
        </w:rPr>
        <w:t>Jumlah kasus aktual yang tercatat pada sel tabel kontinjensi 2x2.</w:t>
        <w:br/>
      </w:r>
      <w:r>
        <w:rPr>
          <w:b/>
          <w:i w:val="0"/>
          <w:color w:val="1B5E20"/>
          <w:sz w:val="16"/>
        </w:rPr>
        <w:t xml:space="preserve">- Frekuensi_Harapan (E): </w:t>
      </w:r>
      <w:r>
        <w:rPr>
          <w:b w:val="0"/>
          <w:i w:val="0"/>
          <w:color w:val="444444"/>
          <w:sz w:val="16"/>
        </w:rPr>
        <w:t>Jumlah kasus teoretis jika kepadatan smelter dan IKA saling independen: E = (Total Baris * Total Kolom) / N.</w:t>
      </w:r>
    </w:p>
    <w:p>
      <w:pPr>
        <w:spacing w:before="120" w:after="20"/>
      </w:pPr>
      <w:r>
        <w:rPr>
          <w:b/>
          <w:i/>
          <w:color w:val="2E7D32"/>
          <w:sz w:val="17"/>
        </w:rPr>
        <w:t>Persamaan: Persamaan Rasio Keunggulan Risiko IKA Kritis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kelipatan peluang munculnya IKA Kritis pada kelompok Smelter Tinggi dibandingkan kelompok Smelter Rendah.</w:t>
        <w:br/>
      </w:r>
      <w:r>
        <w:rPr>
          <w:b/>
          <w:i w:val="0"/>
          <w:color w:val="1B5E20"/>
          <w:sz w:val="16"/>
        </w:rPr>
        <w:t xml:space="preserve">- a: </w:t>
      </w:r>
      <w:r>
        <w:rPr>
          <w:b w:val="0"/>
          <w:i w:val="0"/>
          <w:color w:val="444444"/>
          <w:sz w:val="16"/>
        </w:rPr>
        <w:t>Jumlah observasi panel pada kelompok Smelter Tinggi dan IKA Kritis (10 kasus).</w:t>
        <w:br/>
      </w:r>
      <w:r>
        <w:rPr>
          <w:b/>
          <w:i w:val="0"/>
          <w:color w:val="1B5E20"/>
          <w:sz w:val="16"/>
        </w:rPr>
        <w:t xml:space="preserve">- b: </w:t>
      </w:r>
      <w:r>
        <w:rPr>
          <w:b w:val="0"/>
          <w:i w:val="0"/>
          <w:color w:val="444444"/>
          <w:sz w:val="16"/>
        </w:rPr>
        <w:t>Jumlah observasi panel pada kelompok Smelter Tinggi dan IKA Baik (17 kasus).</w:t>
        <w:br/>
      </w:r>
      <w:r>
        <w:rPr>
          <w:b/>
          <w:i w:val="0"/>
          <w:color w:val="1B5E20"/>
          <w:sz w:val="16"/>
        </w:rPr>
        <w:t xml:space="preserve">- c: </w:t>
      </w:r>
      <w:r>
        <w:rPr>
          <w:b w:val="0"/>
          <w:i w:val="0"/>
          <w:color w:val="444444"/>
          <w:sz w:val="16"/>
        </w:rPr>
        <w:t>Jumlah observasi panel pada kelompok Smelter Rendah dan IKA Kritis (17 kasus).</w:t>
        <w:br/>
      </w:r>
      <w:r>
        <w:rPr>
          <w:b/>
          <w:i w:val="0"/>
          <w:color w:val="1B5E20"/>
          <w:sz w:val="16"/>
        </w:rPr>
        <w:t xml:space="preserve">- d: </w:t>
      </w:r>
      <w:r>
        <w:rPr>
          <w:b w:val="0"/>
          <w:i w:val="0"/>
          <w:color w:val="444444"/>
          <w:sz w:val="16"/>
        </w:rPr>
        <w:t>Jumlah observasi panel pada kelompok Smelter Rendah dan IKA Baik (10 kasus).</w:t>
      </w:r>
    </w:p>
    <w:p>
      <w:pPr>
        <w:spacing w:before="160" w:after="40"/>
      </w:pPr>
      <w:r>
        <w:rPr>
          <w:b/>
          <w:i w:val="0"/>
          <w:color w:val="2E7D32"/>
          <w:sz w:val="19"/>
        </w:rPr>
        <w:t>D. Matriks Hasil Uji Empiris: Peta Limbah, IKA, dan Crosstabulation</w:t>
      </w:r>
    </w:p>
    <w:p>
      <w:pPr>
        <w:spacing w:after="100"/>
        <w:jc w:val="both"/>
      </w:pPr>
      <w:r>
        <w:rPr>
          <w:b w:val="0"/>
          <w:i w:val="0"/>
          <w:color w:val="222222"/>
          <w:sz w:val="19"/>
        </w:rPr>
        <w:t xml:space="preserve">Akumulasi pemusatan fasilitas smelter, nilai IKA, estimasi timbulan limbah B3, dan laporan sungai/pesisir tercemar pada masing-masing provinsi dapat dilihat secara empiris pada </w:t>
      </w:r>
      <w:r>
        <w:rPr>
          <w:b/>
          <w:i w:val="0"/>
          <w:color w:val="222222"/>
          <w:sz w:val="19"/>
        </w:rPr>
        <w:t>Tabel 2.1</w:t>
      </w:r>
      <w:r>
        <w:rPr>
          <w:b w:val="0"/>
          <w:i w:val="0"/>
          <w:color w:val="222222"/>
          <w:sz w:val="19"/>
        </w:rPr>
        <w:t xml:space="preserve"> berikut:</w:t>
      </w:r>
    </w:p>
    <w:p>
      <w:pPr>
        <w:spacing w:before="120" w:after="40"/>
      </w:pPr>
      <w:r>
        <w:rPr>
          <w:b/>
          <w:i/>
          <w:color w:val="2E7D32"/>
          <w:sz w:val="17"/>
        </w:rPr>
        <w:t>Tabel 2.1: Rincian Empiris Konsentrasi Smelter, IKA, Limbah B3, dan Sungai Tercemar (2024)</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Provinsi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Jumlah Smelter</w:t>
            </w:r>
          </w:p>
        </w:tc>
        <w:tc>
          <w:tcPr>
            <w:tcW w:type="dxa" w:w="79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IKA</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Limbah B3 (Ton/Tahun)</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Sungai Tercemar</w:t>
            </w:r>
          </w:p>
        </w:tc>
        <w:tc>
          <w:tcPr>
            <w:tcW w:type="dxa" w:w="328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Daftar Sungai/Pesisir</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344</w:t>
            </w:r>
          </w:p>
        </w:tc>
        <w:tc>
          <w:tcPr>
            <w:tcW w:type="dxa" w:w="79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62.1</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12,000,000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Sungai Bahodopi, Sungai Laroenai, Sungai Morowali, Pesisir Fatufia</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262</w:t>
            </w:r>
          </w:p>
        </w:tc>
        <w:tc>
          <w:tcPr>
            <w:tcW w:type="dxa" w:w="79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65.3</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7,700,000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Sungai Lasolo, Sungai Lalindu, Sungai Konaweha</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111</w:t>
            </w:r>
          </w:p>
        </w:tc>
        <w:tc>
          <w:tcPr>
            <w:tcW w:type="dxa" w:w="79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58.5</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1,000,000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Pesisir dan Sungai Bantaeng</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w:t>
            </w:r>
          </w:p>
        </w:tc>
        <w:tc>
          <w:tcPr>
            <w:tcW w:type="dxa" w:w="79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55.9</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t>
            </w:r>
          </w:p>
        </w:tc>
      </w:tr>
      <w:tr>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w:t>
            </w:r>
          </w:p>
        </w:tc>
        <w:tc>
          <w:tcPr>
            <w:tcW w:type="dxa" w:w="79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58.2</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w:t>
            </w:r>
          </w:p>
        </w:tc>
        <w:tc>
          <w:tcPr>
            <w:tcW w:type="dxa" w:w="79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58.1</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t>
            </w:r>
          </w:p>
        </w:tc>
      </w:tr>
    </w:tbl>
    <w:p>
      <w:pPr>
        <w:spacing w:before="40" w:after="80"/>
      </w:pPr>
    </w:p>
    <w:p>
      <w:pPr>
        <w:spacing w:after="100"/>
        <w:jc w:val="both"/>
      </w:pPr>
      <w:r>
        <w:rPr>
          <w:b w:val="0"/>
          <w:i w:val="0"/>
          <w:color w:val="222222"/>
          <w:sz w:val="19"/>
        </w:rPr>
        <w:t xml:space="preserve">Penerapan sistem pengujian statistik tabulasi silang pada data panel 6 provinsi selama periode 2016-2024 (total 54 observasi valid) disajikan secara ringkas pada </w:t>
      </w:r>
      <w:r>
        <w:rPr>
          <w:b/>
          <w:i w:val="0"/>
          <w:color w:val="222222"/>
          <w:sz w:val="19"/>
        </w:rPr>
        <w:t>Tabel 2.2</w:t>
      </w:r>
      <w:r>
        <w:rPr>
          <w:b w:val="0"/>
          <w:i w:val="0"/>
          <w:color w:val="222222"/>
          <w:sz w:val="19"/>
        </w:rPr>
        <w:t xml:space="preserve"> berikut:</w:t>
      </w:r>
    </w:p>
    <w:p>
      <w:pPr>
        <w:spacing w:before="120" w:after="40"/>
      </w:pPr>
      <w:r>
        <w:rPr>
          <w:b/>
          <w:i/>
          <w:color w:val="2E7D32"/>
          <w:sz w:val="17"/>
        </w:rPr>
        <w:t>Tabel 2.2: Ringkasan Eksekutif Skenario Crosstab Smelter vs IKA Bab 2</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Independen (X)</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Odds Ratio</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Kesimpulan</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Kepadatan Smelter (Fasilitas)</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Indeks Kualitas Air (IKA)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2.667</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0.102</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0.35</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TIDAK SIGNIFIKAN</w:t>
            </w:r>
          </w:p>
        </w:tc>
      </w:tr>
    </w:tbl>
    <w:p>
      <w:pPr>
        <w:spacing w:before="40" w:after="80"/>
      </w:pPr>
    </w:p>
    <w:p>
      <w:pPr>
        <w:spacing w:before="160" w:after="40"/>
      </w:pPr>
      <w:r>
        <w:rPr>
          <w:b/>
          <w:i w:val="0"/>
          <w:color w:val="2E7D32"/>
          <w:sz w:val="19"/>
        </w:rPr>
        <w:t>E. Analisis Temuan Empiris: Pencemaran Air dan Efek Pengenceran Data Agregat</w:t>
      </w:r>
    </w:p>
    <w:p>
      <w:pPr>
        <w:spacing w:after="100"/>
        <w:jc w:val="both"/>
      </w:pPr>
      <w:r>
        <w:rPr>
          <w:b w:val="0"/>
          <w:i w:val="0"/>
          <w:color w:val="222222"/>
          <w:sz w:val="19"/>
        </w:rPr>
        <w:t>Kegagalan statistik mendeteksi signifikansi membongkar fakta krusial: Indeks Kualitas Air (IKA) provinsi adalah metrik agregat yang mengencerkan tekanan ekologis di tapak. Pencemaran tailing fatal di area tambang dapat tertutupi oleh data sungai-sungai lain di luar lingkar industri.</w:t>
      </w:r>
    </w:p>
    <w:p>
      <w:pPr>
        <w:spacing w:after="100"/>
        <w:jc w:val="both"/>
      </w:pPr>
      <w:r>
        <w:rPr>
          <w:b w:val="0"/>
          <w:i w:val="0"/>
          <w:color w:val="222222"/>
          <w:sz w:val="19"/>
        </w:rPr>
        <w:t>Pembacaan empiris tetap harus dilakukan bersama peta limbah B3 dan laporan sungai tercemar. Dashboard memperlihatkan bahwa analisis IKA BPS tidak berdiri sendiri, melainkan dibaca bersama estimasi timbulan tailing/slag dan laporan NGO tentang pencemaran sungai/pesisir. Dengan demikian, sub-bab ini memosisikan IKA sebagai indikator makro yang perlu diuji silang dengan bukti spasial di kawasan smelter.</w:t>
      </w:r>
    </w:p>
    <w:p>
      <w:pPr>
        <w:spacing w:before="240" w:after="80"/>
        <w:pBdr>
          <w:bottom w:val="single" w:sz="6" w:space="2" w:color="2E7D32"/>
        </w:pBdr>
      </w:pPr>
      <w:r>
        <w:rPr>
          <w:b/>
          <w:i w:val="0"/>
          <w:color w:val="2E7D32"/>
          <w:sz w:val="22"/>
        </w:rPr>
        <w:t>2.2. KEPUNGAN ASAP: KAPASITAS PLTU VS INDEKS KUALITAS UDARA (IKU)</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PLTU Captive: data/processed/sulawesi_pltu_captive.csv; Data IKU: data/processed/sulawesi_iku_2015_2024.csv. Visualisasi dashboard menampilkan trendline IKU dan pengujian Chi-Square tabulasi silang (Crosstabulation).</w:t>
      </w:r>
    </w:p>
    <w:p>
      <w:pPr>
        <w:spacing w:before="160" w:after="40"/>
      </w:pPr>
      <w:r>
        <w:rPr>
          <w:b/>
          <w:i w:val="0"/>
          <w:color w:val="2E7D32"/>
          <w:sz w:val="19"/>
        </w:rPr>
        <w:t>A. Pengantar &amp; Kerangka Narasi</w:t>
      </w:r>
    </w:p>
    <w:p>
      <w:pPr>
        <w:spacing w:after="100"/>
        <w:jc w:val="both"/>
      </w:pPr>
      <w:r>
        <w:rPr>
          <w:b w:val="0"/>
          <w:i w:val="0"/>
          <w:color w:val="222222"/>
          <w:sz w:val="19"/>
        </w:rPr>
        <w:t>Keberadaan 9,825 MW PLTU Captive di kawasan hilirisasi secara langsung berkontribusi pada pencemaran udara. Sub-bab ini menguji hipotesis apakah kapasitas terpasang PLTU Captive memiliki hubungan yang signifikan dengan penurunan Indeks Kualitas Udara (IKU).</w:t>
      </w:r>
    </w:p>
    <w:p>
      <w:pPr>
        <w:spacing w:before="160" w:after="40"/>
      </w:pPr>
      <w:r>
        <w:rPr>
          <w:b/>
          <w:i w:val="0"/>
          <w:color w:val="2E7D32"/>
          <w:sz w:val="19"/>
        </w:rPr>
        <w:t>B. Alur Logika Metodologis Analisis Kapasitas PLTU vs IKU</w:t>
      </w:r>
    </w:p>
    <w:p>
      <w:pPr>
        <w:spacing w:after="100"/>
        <w:jc w:val="both"/>
      </w:pPr>
      <w:r>
        <w:rPr>
          <w:b w:val="0"/>
          <w:i w:val="0"/>
          <w:color w:val="222222"/>
          <w:sz w:val="19"/>
        </w:rPr>
        <w:t xml:space="preserve">Kerangka operasionalisasi sub-bab ini menggunakan pendekatan analisis kuantitatif dan Uji Statistik Chi-Square (Crosstabulation) untuk mengukur korelasi tersebut. Alur data dan pengujian diilustrasikan pada </w:t>
      </w:r>
      <w:r>
        <w:rPr>
          <w:b/>
          <w:i w:val="0"/>
          <w:color w:val="222222"/>
          <w:sz w:val="19"/>
        </w:rPr>
        <w:t>Bagan Alur 2.2</w:t>
      </w:r>
      <w:r>
        <w:rPr>
          <w:b w:val="0"/>
          <w:i w:val="0"/>
          <w:color w:val="222222"/>
          <w:sz w:val="19"/>
        </w:rPr>
        <w:t xml:space="preserve"> berikut:</w:t>
      </w:r>
    </w:p>
    <w:p>
      <w:pPr>
        <w:spacing w:before="120" w:after="40"/>
      </w:pPr>
      <w:r>
        <w:rPr>
          <w:b/>
          <w:i/>
          <w:color w:val="2E7D32"/>
          <w:sz w:val="17"/>
        </w:rPr>
        <w:t>Bagan Alur 2.2: Alur Logika Metodologis Crosstabulation &amp; Trendline PLTU vs IKU</w:t>
      </w:r>
    </w:p>
    <w:p>
      <w:pPr>
        <w:jc w:val="center"/>
      </w:pPr>
      <w:r>
        <w:drawing>
          <wp:inline xmlns:a="http://schemas.openxmlformats.org/drawingml/2006/main" xmlns:pic="http://schemas.openxmlformats.org/drawingml/2006/picture">
            <wp:extent cx="5400000" cy="2133538"/>
            <wp:docPr id="2" name="Picture 2"/>
            <wp:cNvGraphicFramePr>
              <a:graphicFrameLocks noChangeAspect="1"/>
            </wp:cNvGraphicFramePr>
            <a:graphic>
              <a:graphicData uri="http://schemas.openxmlformats.org/drawingml/2006/picture">
                <pic:pic>
                  <pic:nvPicPr>
                    <pic:cNvPr id="0" name="mermaid_flowchart_2_2.png"/>
                    <pic:cNvPicPr/>
                  </pic:nvPicPr>
                  <pic:blipFill>
                    <a:blip r:embed="rId10"/>
                    <a:stretch>
                      <a:fillRect/>
                    </a:stretch>
                  </pic:blipFill>
                  <pic:spPr>
                    <a:xfrm>
                      <a:off x="0" y="0"/>
                      <a:ext cx="5400000" cy="2133538"/>
                    </a:xfrm>
                    <a:prstGeom prst="rect"/>
                  </pic:spPr>
                </pic:pic>
              </a:graphicData>
            </a:graphic>
          </wp:inline>
        </w:drawing>
      </w:r>
    </w:p>
    <w:p>
      <w:pPr>
        <w:spacing w:before="40" w:after="80"/>
      </w:pPr>
    </w:p>
    <w:p>
      <w:pPr>
        <w:spacing w:after="100"/>
        <w:jc w:val="both"/>
      </w:pPr>
      <w:r>
        <w:rPr>
          <w:b w:val="0"/>
          <w:i w:val="0"/>
          <w:color w:val="222222"/>
          <w:sz w:val="19"/>
        </w:rPr>
        <w:t xml:space="preserve">Sebagai opsi ringkas pengganti bagan alur crosstab yang terlalu panjang, konfigurasi variabel pengujian Chi-Square disajikan pada </w:t>
      </w:r>
      <w:r>
        <w:rPr>
          <w:b/>
          <w:i w:val="0"/>
          <w:color w:val="222222"/>
          <w:sz w:val="19"/>
        </w:rPr>
        <w:t>Tabel 2.2a</w:t>
      </w:r>
      <w:r>
        <w:rPr>
          <w:b w:val="0"/>
          <w:i w:val="0"/>
          <w:color w:val="222222"/>
          <w:sz w:val="19"/>
        </w:rPr>
        <w:t xml:space="preserve"> berikut:</w:t>
      </w:r>
    </w:p>
    <w:p>
      <w:pPr>
        <w:spacing w:before="120" w:after="40"/>
      </w:pPr>
      <w:r>
        <w:rPr>
          <w:b/>
          <w:i/>
          <w:color w:val="2E7D32"/>
          <w:sz w:val="17"/>
        </w:rPr>
        <w:t>Tabel 2.2a: Konfigurasi Variabel Uji Chi-Square (Sub-bab 2.2)</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2.2)</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PLTU (MW): Total kapasitas PLTU Captive yang beroperasi.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Indeks Kualitas Udara: Skor baku mutu udara ambien per provinsi.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Tidak ada hubungan signifikan secara statistik antara kapasitas PLTU dengan Indeks Kualitas Udara.</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Decision Rule (Alpha 5%)</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Jika P-Value &lt; 0.05, maka Tolak H0 (Terbukti signifikan bahwa emisi PLTU menurunkan kualitas udara).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Nilai Median Data Panel (N=54); variabel kontinu dikonversi menjadi biner.</w:t>
            </w:r>
          </w:p>
        </w:tc>
      </w:tr>
    </w:tbl>
    <w:p>
      <w:pPr>
        <w:spacing w:before="40" w:after="80"/>
      </w:pPr>
    </w:p>
    <w:p>
      <w:pPr>
        <w:spacing w:before="160" w:after="40"/>
      </w:pPr>
      <w:r>
        <w:rPr>
          <w:b/>
          <w:i w:val="0"/>
          <w:color w:val="2E7D32"/>
          <w:sz w:val="19"/>
        </w:rPr>
        <w:t>C. Formulasi Matematis: Kapasitas PLTU, Rata-rata IKU, dan Uji Crosstabulation</w:t>
      </w:r>
    </w:p>
    <w:p>
      <w:pPr>
        <w:spacing w:before="120" w:after="20"/>
      </w:pPr>
      <w:r>
        <w:rPr>
          <w:b/>
          <w:i/>
          <w:color w:val="2E7D32"/>
          <w:sz w:val="17"/>
        </w:rPr>
        <w:t>Persamaan: Agregasi Kapasitas PLTU Captive per Provinsi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Kapasitas_PLTU_Provinsi = SUM(Kapasitas_i) GROUP BY Provinsi</w:t>
      </w:r>
    </w:p>
    <w:p>
      <w:pPr>
        <w:spacing w:before="40" w:after="120"/>
        <w:ind w:left="280"/>
      </w:pPr>
      <w:r>
        <w:rPr>
          <w:b/>
          <w:i/>
          <w:color w:val="333333"/>
          <w:sz w:val="16"/>
        </w:rPr>
        <w:t>Keterangan Variabel:</w:t>
        <w:br/>
      </w:r>
      <w:r>
        <w:rPr>
          <w:b/>
          <w:i w:val="0"/>
          <w:color w:val="1B5E20"/>
          <w:sz w:val="16"/>
        </w:rPr>
        <w:t xml:space="preserve">- Kapasitas_PLTU_Provinsi: </w:t>
      </w:r>
      <w:r>
        <w:rPr>
          <w:b w:val="0"/>
          <w:i w:val="0"/>
          <w:color w:val="444444"/>
          <w:sz w:val="16"/>
        </w:rPr>
        <w:t>Total kapasitas (MW) PLTU captive yang beroperasi di provinsi observasi.</w:t>
        <w:br/>
      </w:r>
      <w:r>
        <w:rPr>
          <w:b/>
          <w:i w:val="0"/>
          <w:color w:val="1B5E20"/>
          <w:sz w:val="16"/>
        </w:rPr>
        <w:t xml:space="preserve">- Kapasitas_i: </w:t>
      </w:r>
      <w:r>
        <w:rPr>
          <w:b w:val="0"/>
          <w:i w:val="0"/>
          <w:color w:val="444444"/>
          <w:sz w:val="16"/>
        </w:rPr>
        <w:t>Kapasitas (MW) unit PLTU captive i dalam data operasi.</w:t>
      </w:r>
    </w:p>
    <w:p>
      <w:pPr>
        <w:spacing w:before="120" w:after="20"/>
      </w:pPr>
      <w:r>
        <w:rPr>
          <w:b/>
          <w:i/>
          <w:color w:val="2E7D32"/>
          <w:sz w:val="17"/>
        </w:rPr>
        <w:t>Persamaan: Rata-rata Indeks Kualitas Udara Panel</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Rata_Rata_IKU_Provinsi_Tahun = MEAN(IKU) GROUP BY Provinsi, Tahun</w:t>
      </w:r>
    </w:p>
    <w:p>
      <w:pPr>
        <w:spacing w:before="40" w:after="120"/>
        <w:ind w:left="280"/>
      </w:pPr>
      <w:r>
        <w:rPr>
          <w:b/>
          <w:i/>
          <w:color w:val="333333"/>
          <w:sz w:val="16"/>
        </w:rPr>
        <w:t>Keterangan Variabel:</w:t>
        <w:br/>
      </w:r>
      <w:r>
        <w:rPr>
          <w:b/>
          <w:i w:val="0"/>
          <w:color w:val="1B5E20"/>
          <w:sz w:val="16"/>
        </w:rPr>
        <w:t xml:space="preserve">- Rata_Rata_IKU_Provinsi_Tahun: </w:t>
      </w:r>
      <w:r>
        <w:rPr>
          <w:b w:val="0"/>
          <w:i w:val="0"/>
          <w:color w:val="444444"/>
          <w:sz w:val="16"/>
        </w:rPr>
        <w:t>Skor rata-rata Indeks Kualitas Udara (IKU) pada provinsi dan tahun tertentu.</w:t>
        <w:br/>
      </w:r>
      <w:r>
        <w:rPr>
          <w:b/>
          <w:i w:val="0"/>
          <w:color w:val="1B5E20"/>
          <w:sz w:val="16"/>
        </w:rPr>
        <w:t xml:space="preserve">- IKU: </w:t>
      </w:r>
      <w:r>
        <w:rPr>
          <w:b w:val="0"/>
          <w:i w:val="0"/>
          <w:color w:val="444444"/>
          <w:sz w:val="16"/>
        </w:rPr>
        <w:t>Indeks Kualitas Udara dari data KLHK.</w:t>
      </w:r>
    </w:p>
    <w:p>
      <w:pPr>
        <w:spacing w:before="160" w:after="40"/>
      </w:pPr>
      <w:r>
        <w:rPr>
          <w:b/>
          <w:i w:val="0"/>
          <w:color w:val="2E7D32"/>
          <w:sz w:val="19"/>
        </w:rPr>
        <w:t>D. Matriks Hasil Uji Empiris: Kapasitas PLTU, IKU, dan Konsentrasi NO2 NASA</w:t>
      </w:r>
    </w:p>
    <w:p>
      <w:pPr>
        <w:spacing w:after="100"/>
        <w:jc w:val="both"/>
      </w:pPr>
      <w:r>
        <w:rPr>
          <w:b w:val="0"/>
          <w:i w:val="0"/>
          <w:color w:val="222222"/>
          <w:sz w:val="19"/>
        </w:rPr>
        <w:t xml:space="preserve">Akumulasi kapasitas total PLTU (Captive dan Grid) yang beroperasi, beserta kondisi mutu udara melalui pengukuran IKU dan satelit NASA TROPOMI (NO₂) dapat dilihat secara empiris pada </w:t>
      </w:r>
      <w:r>
        <w:rPr>
          <w:b/>
          <w:i w:val="0"/>
          <w:color w:val="222222"/>
          <w:sz w:val="19"/>
        </w:rPr>
        <w:t>Tabel 2.3</w:t>
      </w:r>
      <w:r>
        <w:rPr>
          <w:b w:val="0"/>
          <w:i w:val="0"/>
          <w:color w:val="222222"/>
          <w:sz w:val="19"/>
        </w:rPr>
        <w:t xml:space="preserve"> berikut:</w:t>
      </w:r>
    </w:p>
    <w:p>
      <w:pPr>
        <w:spacing w:before="120" w:after="40"/>
      </w:pPr>
      <w:r>
        <w:rPr>
          <w:b/>
          <w:i/>
          <w:color w:val="2E7D32"/>
          <w:sz w:val="17"/>
        </w:rPr>
        <w:t>Tabel 2.3: Rincian Empiris Kapasitas PLTU (Captive &amp; Grid), IKU, dan Konsentrasi NO₂ NASA (2024)</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Provinsi</w:t>
            </w:r>
          </w:p>
        </w:tc>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Kapasitas PLTU (Captive &amp; Grid) (MW)</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IKU</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NASA TROPOMI NO₂ (mol/m²)</w:t>
              <w:br/>
              <w:t>*Batas Kritis: 6.00e-06</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9,365</w:t>
              <w:br/>
              <w:t>(Captive: 9,365 | Grid: 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92.9</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6.50e-06</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2,380</w:t>
              <w:br/>
              <w:t>(Captive: 2,280 | Grid: 100)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93.0</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6.62e-06</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1,520</w:t>
              <w:br/>
              <w:t>(Captive: 600 | Grid: 920)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91.5</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6.40e-06</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220</w:t>
              <w:br/>
              <w:t>(Captive: 0 | Grid: 220)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93.4</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4.09e-06</w:t>
            </w:r>
          </w:p>
        </w:tc>
      </w:tr>
      <w:tr>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w:t>
              <w:br/>
              <w:t>(Captive: 0 | Grid: 100)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93.5</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3.76e-06</w:t>
            </w:r>
          </w:p>
        </w:tc>
      </w:tr>
      <w:tr>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br/>
              <w:t>(Captive: 0 | Grid: 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92.5</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6.00e-06</w:t>
            </w:r>
          </w:p>
        </w:tc>
      </w:tr>
    </w:tbl>
    <w:p>
      <w:pPr>
        <w:spacing w:before="40" w:after="80"/>
      </w:pPr>
    </w:p>
    <w:p>
      <w:pPr>
        <w:spacing w:after="100"/>
        <w:jc w:val="both"/>
      </w:pPr>
      <w:r>
        <w:rPr>
          <w:b w:val="0"/>
          <w:i w:val="0"/>
          <w:color w:val="222222"/>
          <w:sz w:val="19"/>
        </w:rPr>
        <w:t xml:space="preserve">Penerapan pengujian statistik tabulasi silang pada data panel (total 54 observasi valid) disajikan secara ringkas pada </w:t>
      </w:r>
      <w:r>
        <w:rPr>
          <w:b/>
          <w:i w:val="0"/>
          <w:color w:val="222222"/>
          <w:sz w:val="19"/>
        </w:rPr>
        <w:t>Tabel 2.4</w:t>
      </w:r>
      <w:r>
        <w:rPr>
          <w:b w:val="0"/>
          <w:i w:val="0"/>
          <w:color w:val="222222"/>
          <w:sz w:val="19"/>
        </w:rPr>
        <w:t xml:space="preserve"> berikut:</w:t>
      </w:r>
    </w:p>
    <w:p>
      <w:pPr>
        <w:spacing w:before="120" w:after="40"/>
      </w:pPr>
      <w:r>
        <w:rPr>
          <w:b/>
          <w:i/>
          <w:color w:val="2E7D32"/>
          <w:sz w:val="17"/>
        </w:rPr>
        <w:t>Tabel 2.4: Ringkasan Eksekutif Skenario Crosstab Kapasitas PLTU vs IKU Bab 2</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Independen (X)</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Odds Ratio</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Kesimpulan</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PLTU (MW)</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Indeks Kualitas Udara (IKU)</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0.000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1.18</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TIDAK SIGNIFIKAN</w:t>
            </w:r>
          </w:p>
        </w:tc>
      </w:tr>
    </w:tbl>
    <w:p>
      <w:pPr>
        <w:spacing w:before="40" w:after="80"/>
      </w:pPr>
    </w:p>
    <w:p>
      <w:pPr>
        <w:spacing w:before="160" w:after="40"/>
      </w:pPr>
      <w:r>
        <w:rPr>
          <w:b/>
          <w:i w:val="0"/>
          <w:color w:val="2E7D32"/>
          <w:sz w:val="19"/>
        </w:rPr>
        <w:t>E. Analisis Temuan Empiris: Efek Pengenceran Udara Ambien</w:t>
      </w:r>
    </w:p>
    <w:p>
      <w:pPr>
        <w:spacing w:after="100"/>
        <w:jc w:val="both"/>
      </w:pPr>
      <w:r>
        <w:rPr>
          <w:b w:val="0"/>
          <w:i w:val="0"/>
          <w:color w:val="222222"/>
          <w:sz w:val="19"/>
        </w:rPr>
        <w:t>Kegagalan pengujian statistik ini membongkar fakta krusial bahwa Indeks Kualitas Udara (IKU) level provinsi adalah metrik agregat yang mengencerkan pencemaran udara lokal di tapak industri. Kualitas udara yang buruk di sekitar PLTU tertutupi oleh wilayah yang masih bersih.</w:t>
      </w:r>
    </w:p>
    <w:p>
      <w:pPr>
        <w:spacing w:before="240" w:after="80"/>
        <w:pBdr>
          <w:bottom w:val="single" w:sz="6" w:space="2" w:color="2E7D32"/>
        </w:pBdr>
      </w:pPr>
      <w:r>
        <w:rPr>
          <w:b/>
          <w:i w:val="0"/>
          <w:color w:val="2E7D32"/>
          <w:sz w:val="22"/>
        </w:rPr>
        <w:t>2.3. EKSEKUSI RUANG: EKSPANSI KAWASAN INDUSTRI VS TEKANAN EKOLOGIS (DEFORESTASI)</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Izin Konsesi: data/processed/sulawesi_izin_baru_per_tahun.csv dan data/processed/sulawesi_kawasan_nikel_luas.csv; Data Deforestasi: data/processed/sulawesi_gfw_master_1_dekade_2014_2023_v3.csv. Visualisasi dashboard menampilkan Animated Bubble Chart (Hans Rosling-style) berlapis peta choropleth deforestasi kumulatif serta pengujian Chi-Square tabulasi silang (Crosstabulation).</w:t>
      </w:r>
    </w:p>
    <w:p>
      <w:pPr>
        <w:spacing w:before="160" w:after="40"/>
      </w:pPr>
      <w:r>
        <w:rPr>
          <w:b/>
          <w:i w:val="0"/>
          <w:color w:val="2E7D32"/>
          <w:sz w:val="19"/>
        </w:rPr>
        <w:t>A. Pengantar &amp; Kerangka Narasi</w:t>
      </w:r>
    </w:p>
    <w:p>
      <w:pPr>
        <w:spacing w:after="100"/>
        <w:jc w:val="both"/>
      </w:pPr>
      <w:r>
        <w:rPr>
          <w:b w:val="0"/>
          <w:i w:val="0"/>
          <w:color w:val="222222"/>
          <w:sz w:val="19"/>
        </w:rPr>
        <w:t xml:space="preserve">Pengembangan kawasan industri pemurnian nikel dan perizinan tambang berimplikasi pada alokasi ruang dan perubahan tutupan lahan. Data menunjukkan bahwa alokasi konsesi perizinan (IUP) dan Kawasan Industri mencakup total luasan </w:t>
      </w:r>
      <w:r>
        <w:rPr>
          <w:b/>
          <w:i w:val="0"/>
          <w:color w:val="222222"/>
          <w:sz w:val="19"/>
        </w:rPr>
        <w:t>1,185,174 Hektar</w:t>
      </w:r>
      <w:r>
        <w:rPr>
          <w:b w:val="0"/>
          <w:i w:val="0"/>
          <w:color w:val="222222"/>
          <w:sz w:val="19"/>
        </w:rPr>
        <w:t xml:space="preserve"> di Pulau Sulawesi, dengan alokasi terbesar berada di </w:t>
      </w:r>
      <w:r>
        <w:rPr>
          <w:b/>
          <w:i w:val="0"/>
          <w:color w:val="222222"/>
          <w:sz w:val="19"/>
        </w:rPr>
        <w:t>Sulawesi Tengah</w:t>
      </w:r>
      <w:r>
        <w:rPr>
          <w:b w:val="0"/>
          <w:i w:val="0"/>
          <w:color w:val="222222"/>
          <w:sz w:val="19"/>
        </w:rPr>
        <w:t>.</w:t>
      </w:r>
    </w:p>
    <w:p>
      <w:pPr>
        <w:spacing w:after="100"/>
        <w:jc w:val="both"/>
      </w:pPr>
      <w:r>
        <w:rPr>
          <w:b w:val="0"/>
          <w:i w:val="0"/>
          <w:color w:val="222222"/>
          <w:sz w:val="19"/>
        </w:rPr>
        <w:t xml:space="preserve">Sepanjang periode 2014-2023, data Global Forest Watch (GFW) merekam akumulasi kehilangan tutupan pohon sebesar </w:t>
      </w:r>
      <w:r>
        <w:rPr>
          <w:b/>
          <w:i w:val="0"/>
          <w:color w:val="222222"/>
          <w:sz w:val="19"/>
        </w:rPr>
        <w:t>1,386,055 Hektar</w:t>
      </w:r>
      <w:r>
        <w:rPr>
          <w:b w:val="0"/>
          <w:i w:val="0"/>
          <w:color w:val="222222"/>
          <w:sz w:val="19"/>
        </w:rPr>
        <w:t xml:space="preserve">, dengan akumulasi terbesar berada di Sulawesi Tengah. Visualisasi Animated Bubble Chart pada dashboard memperlihatkan pergerakan kumulatif luasan perizinan dan laju perubahan tutupan hutan per provinsi dari tahun ke tahun. Sub-bab ini menguji hipotesis secara empiris: </w:t>
      </w:r>
      <w:r>
        <w:rPr>
          <w:b/>
          <w:i w:val="0"/>
          <w:color w:val="222222"/>
          <w:sz w:val="19"/>
        </w:rPr>
        <w:t>apakah luasan ekspansi kawasan industri dan perizinan tambang berbanding lurus dengan laju deforestasi?</w:t>
      </w:r>
    </w:p>
    <w:p>
      <w:pPr>
        <w:spacing w:before="160" w:after="40"/>
      </w:pPr>
      <w:r>
        <w:rPr>
          <w:b/>
          <w:i w:val="0"/>
          <w:color w:val="2E7D32"/>
          <w:sz w:val="19"/>
        </w:rPr>
        <w:t>B. Alur Logika Metodologis Analisis Ekspansi Industri vs Deforestasi</w:t>
      </w:r>
    </w:p>
    <w:p>
      <w:pPr>
        <w:spacing w:after="100"/>
        <w:jc w:val="both"/>
      </w:pPr>
      <w:r>
        <w:rPr>
          <w:b w:val="0"/>
          <w:i w:val="0"/>
          <w:color w:val="222222"/>
          <w:sz w:val="19"/>
        </w:rPr>
        <w:t xml:space="preserve">Pendekatan visualisasi dinamis Animated Bubble Chart (Hans Rosling-style) untuk memetakan eksekusi ruang secara spasio-temporal diilustrasikan pada </w:t>
      </w:r>
      <w:r>
        <w:rPr>
          <w:b/>
          <w:i w:val="0"/>
          <w:color w:val="222222"/>
          <w:sz w:val="19"/>
        </w:rPr>
        <w:t>Bagan Alur 2.3</w:t>
      </w:r>
      <w:r>
        <w:rPr>
          <w:b w:val="0"/>
          <w:i w:val="0"/>
          <w:color w:val="222222"/>
          <w:sz w:val="19"/>
        </w:rPr>
        <w:t xml:space="preserve"> berikut. Adapun untuk tahapan analisis inferensial (Uji Chi-Square), alur logikanya merujuk secara penuh pada </w:t>
      </w:r>
      <w:r>
        <w:rPr>
          <w:b/>
          <w:i w:val="0"/>
          <w:color w:val="222222"/>
          <w:sz w:val="19"/>
        </w:rPr>
        <w:t>Bagan Alur 2.1</w:t>
      </w:r>
      <w:r>
        <w:rPr>
          <w:b w:val="0"/>
          <w:i w:val="0"/>
          <w:color w:val="222222"/>
          <w:sz w:val="19"/>
        </w:rPr>
        <w:t xml:space="preserve"> (di sub-bab sebelumnya) dengan penyesuaian konfigurasi variabel spesifik sesuai Tabel 2.3a di bawah gambar.</w:t>
      </w:r>
    </w:p>
    <w:p>
      <w:pPr>
        <w:spacing w:before="120" w:after="40"/>
      </w:pPr>
      <w:r>
        <w:rPr>
          <w:b/>
          <w:i/>
          <w:color w:val="2E7D32"/>
          <w:sz w:val="17"/>
        </w:rPr>
        <w:t>Bagan Alur 2.3: Alur Logika Metodologis Animated Bubble Chart Ekspansi Industri vs Deforestasi</w:t>
      </w:r>
    </w:p>
    <w:p>
      <w:pPr>
        <w:jc w:val="center"/>
      </w:pPr>
      <w:r>
        <w:drawing>
          <wp:inline xmlns:a="http://schemas.openxmlformats.org/drawingml/2006/main" xmlns:pic="http://schemas.openxmlformats.org/drawingml/2006/picture">
            <wp:extent cx="5400000" cy="1486134"/>
            <wp:docPr id="3" name="Picture 3"/>
            <wp:cNvGraphicFramePr>
              <a:graphicFrameLocks noChangeAspect="1"/>
            </wp:cNvGraphicFramePr>
            <a:graphic>
              <a:graphicData uri="http://schemas.openxmlformats.org/drawingml/2006/picture">
                <pic:pic>
                  <pic:nvPicPr>
                    <pic:cNvPr id="0" name="mermaid_flowchart_2_3.png"/>
                    <pic:cNvPicPr/>
                  </pic:nvPicPr>
                  <pic:blipFill>
                    <a:blip r:embed="rId11"/>
                    <a:stretch>
                      <a:fillRect/>
                    </a:stretch>
                  </pic:blipFill>
                  <pic:spPr>
                    <a:xfrm>
                      <a:off x="0" y="0"/>
                      <a:ext cx="5400000" cy="1486134"/>
                    </a:xfrm>
                    <a:prstGeom prst="rect"/>
                  </pic:spPr>
                </pic:pic>
              </a:graphicData>
            </a:graphic>
          </wp:inline>
        </w:drawing>
      </w:r>
    </w:p>
    <w:p>
      <w:pPr>
        <w:spacing w:before="40" w:after="80"/>
      </w:pPr>
    </w:p>
    <w:p>
      <w:pPr>
        <w:spacing w:before="120" w:after="40"/>
      </w:pPr>
      <w:r>
        <w:rPr>
          <w:b/>
          <w:i/>
          <w:color w:val="2E7D32"/>
          <w:sz w:val="17"/>
        </w:rPr>
        <w:t>Tabel 2.3a: Konfigurasi Variabel Uji Chi-Square (Sub-bab 2.3)</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Definisi Variabel (Sub-bab 2.3)</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Luas Ekspansi Industri (Ha) / Luas IUP &amp; Kawasan (Ha)</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Kehilangan Tutupan Pohon (Ha) / Total Deforestasi Alam (Ha)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Luasan ekspansi kawasan industri dan perizinan tambang tidak berhubungan dengan laju deforestasi.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Hipotesis Alternatif (H1)</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Alokasi izin lahan (Luas IUP &amp; Kawasan) berkorelasi positif dengan laju deforestasi.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Nilai Median Data Panel (N=60): X &gt;= 138,148.8 Ha; Y &gt;= 15,917.7 Ha</w:t>
            </w:r>
          </w:p>
        </w:tc>
      </w:tr>
    </w:tbl>
    <w:p>
      <w:pPr>
        <w:spacing w:before="40" w:after="80"/>
      </w:pPr>
    </w:p>
    <w:p>
      <w:pPr>
        <w:spacing w:before="40" w:after="80"/>
      </w:pPr>
    </w:p>
    <w:p>
      <w:pPr>
        <w:spacing w:before="160" w:after="40"/>
      </w:pPr>
      <w:r>
        <w:rPr>
          <w:b/>
          <w:i w:val="0"/>
          <w:color w:val="2E7D32"/>
          <w:sz w:val="19"/>
        </w:rPr>
        <w:t>C. Formulasi Matematis: Akumulasi Konsesi, Deforestasi, dan Uji Crosstabulation</w:t>
      </w:r>
    </w:p>
    <w:p>
      <w:pPr>
        <w:spacing w:after="100"/>
        <w:jc w:val="both"/>
      </w:pPr>
      <w:r>
        <w:rPr>
          <w:b w:val="0"/>
          <w:i w:val="0"/>
          <w:color w:val="222222"/>
          <w:sz w:val="19"/>
        </w:rPr>
        <w:t>Parameterisasi tekanan ruang dan pembuktian statistik dihitung menggunakan sistem formulasi matematis berikut:</w:t>
      </w:r>
    </w:p>
    <w:p>
      <w:pPr>
        <w:spacing w:before="120" w:after="20"/>
      </w:pPr>
      <w:r>
        <w:rPr>
          <w:b/>
          <w:i/>
          <w:color w:val="2E7D32"/>
          <w:sz w:val="17"/>
        </w:rPr>
        <w:t>Persamaan: Agregasi Luas Konsesi &amp; Kawasan Industri per Provinsi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Luas_IUP_Kawasan_Provinsi = SUM(total_luas_ha) GROUP BY Provinsi</w:t>
      </w:r>
    </w:p>
    <w:p>
      <w:pPr>
        <w:spacing w:before="40" w:after="120"/>
        <w:ind w:left="280"/>
      </w:pPr>
      <w:r>
        <w:rPr>
          <w:b/>
          <w:i/>
          <w:color w:val="333333"/>
          <w:sz w:val="16"/>
        </w:rPr>
        <w:t>Keterangan Variabel:</w:t>
        <w:br/>
      </w:r>
      <w:r>
        <w:rPr>
          <w:b/>
          <w:i w:val="0"/>
          <w:color w:val="1B5E20"/>
          <w:sz w:val="16"/>
        </w:rPr>
        <w:t xml:space="preserve">- Luas_IUP_Kawasan_Provinsi: </w:t>
      </w:r>
      <w:r>
        <w:rPr>
          <w:b w:val="0"/>
          <w:i w:val="0"/>
          <w:color w:val="444444"/>
          <w:sz w:val="16"/>
        </w:rPr>
        <w:t>Total luasan (Ha) konsesi IUP dan Kawasan Industri nikel pada provinsi observasi.</w:t>
        <w:br/>
      </w:r>
      <w:r>
        <w:rPr>
          <w:b/>
          <w:i w:val="0"/>
          <w:color w:val="1B5E20"/>
          <w:sz w:val="16"/>
        </w:rPr>
        <w:t xml:space="preserve">- total_luas_ha: </w:t>
      </w:r>
      <w:r>
        <w:rPr>
          <w:b w:val="0"/>
          <w:i w:val="0"/>
          <w:color w:val="444444"/>
          <w:sz w:val="16"/>
        </w:rPr>
        <w:t>Luas izin (Ha) tiap entitas perusahaan dalam data kawasan nikel Minerbaone/CGS.</w:t>
      </w:r>
    </w:p>
    <w:p>
      <w:pPr>
        <w:spacing w:before="120" w:after="20"/>
      </w:pPr>
      <w:r>
        <w:rPr>
          <w:b/>
          <w:i/>
          <w:color w:val="2E7D32"/>
          <w:sz w:val="17"/>
        </w:rPr>
        <w:t>Persamaan: Kumulatif Luas Konsesi Baru (Ukuran Gelembung / Bubble Size)</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Kumulatif_Luas_Konsesi_Ha = CUMSUM(Total_Luas_Konsesi_Baru_Ha) OVER (ORDER BY Tahun)</w:t>
      </w:r>
    </w:p>
    <w:p>
      <w:pPr>
        <w:spacing w:before="40" w:after="120"/>
        <w:ind w:left="280"/>
      </w:pPr>
      <w:r>
        <w:rPr>
          <w:b/>
          <w:i/>
          <w:color w:val="333333"/>
          <w:sz w:val="16"/>
        </w:rPr>
        <w:t>Keterangan Variabel:</w:t>
        <w:br/>
      </w:r>
      <w:r>
        <w:rPr>
          <w:b/>
          <w:i w:val="0"/>
          <w:color w:val="1B5E20"/>
          <w:sz w:val="16"/>
        </w:rPr>
        <w:t xml:space="preserve">- Kumulatif_Luas_Konsesi_Ha: </w:t>
      </w:r>
      <w:r>
        <w:rPr>
          <w:b w:val="0"/>
          <w:i w:val="0"/>
          <w:color w:val="444444"/>
          <w:sz w:val="16"/>
        </w:rPr>
        <w:t>Akumulasi luasan konsesi industri per provinsi yang bertambah dari tahun ke tahun (skala ukuran gelembung).</w:t>
        <w:br/>
      </w:r>
      <w:r>
        <w:rPr>
          <w:b/>
          <w:i w:val="0"/>
          <w:color w:val="1B5E20"/>
          <w:sz w:val="16"/>
        </w:rPr>
        <w:t xml:space="preserve">- Total_Luas_Konsesi_Baru_Ha: </w:t>
      </w:r>
      <w:r>
        <w:rPr>
          <w:b w:val="0"/>
          <w:i w:val="0"/>
          <w:color w:val="444444"/>
          <w:sz w:val="16"/>
        </w:rPr>
        <w:t>Variabel Tekanan Ruang (Independen): luas IUP diterbitkan per tahun.</w:t>
      </w:r>
    </w:p>
    <w:p>
      <w:pPr>
        <w:spacing w:before="120" w:after="20"/>
      </w:pPr>
      <w:r>
        <w:rPr>
          <w:b/>
          <w:i/>
          <w:color w:val="2E7D32"/>
          <w:sz w:val="17"/>
        </w:rPr>
        <w:t>Persamaan: Kumulatif Deforestasi (Pewarnaan Choropleth)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Kumulatif_Deforestasi_Ha = CUMSUM(Total_Deforestasi_Ha) OVER (ORDER BY Tahun)</w:t>
      </w:r>
    </w:p>
    <w:p>
      <w:pPr>
        <w:spacing w:before="40" w:after="120"/>
        <w:ind w:left="280"/>
      </w:pPr>
      <w:r>
        <w:rPr>
          <w:b/>
          <w:i/>
          <w:color w:val="333333"/>
          <w:sz w:val="16"/>
        </w:rPr>
        <w:t>Keterangan Variabel:</w:t>
        <w:br/>
      </w:r>
      <w:r>
        <w:rPr>
          <w:b/>
          <w:i w:val="0"/>
          <w:color w:val="1B5E20"/>
          <w:sz w:val="16"/>
        </w:rPr>
        <w:t xml:space="preserve">- Kumulatif_Deforestasi_Ha: </w:t>
      </w:r>
      <w:r>
        <w:rPr>
          <w:b w:val="0"/>
          <w:i w:val="0"/>
          <w:color w:val="444444"/>
          <w:sz w:val="16"/>
        </w:rPr>
        <w:t>Akumulasi total deforestasi per provinsi yang merepresentasikan level keparahan pada gradasi warna peta.</w:t>
        <w:br/>
      </w:r>
      <w:r>
        <w:rPr>
          <w:b/>
          <w:i w:val="0"/>
          <w:color w:val="1B5E20"/>
          <w:sz w:val="16"/>
        </w:rPr>
        <w:t xml:space="preserve">- Total_Deforestasi_Ha: </w:t>
      </w:r>
      <w:r>
        <w:rPr>
          <w:b w:val="0"/>
          <w:i w:val="0"/>
          <w:color w:val="444444"/>
          <w:sz w:val="16"/>
        </w:rPr>
        <w:t>Variabel Dampak Ruang (Dependen): deforestasi alam per tahun.</w:t>
      </w:r>
    </w:p>
    <w:p>
      <w:pPr>
        <w:spacing w:before="120" w:after="20"/>
      </w:pPr>
      <w:r>
        <w:rPr>
          <w:b/>
          <w:i/>
          <w:color w:val="2E7D32"/>
          <w:sz w:val="17"/>
        </w:rPr>
        <w:t>Persamaan: Persamaan Kategorisasi Median Panel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 = IF(Nilai &gt;= Median(Seluruh Panel), 'Tinggi/Parah', 'Rendah')</w:t>
      </w:r>
    </w:p>
    <w:p>
      <w:pPr>
        <w:spacing w:before="40" w:after="120"/>
        <w:ind w:left="280"/>
      </w:pPr>
      <w:r>
        <w:rPr>
          <w:b/>
          <w:i/>
          <w:color w:val="333333"/>
          <w:sz w:val="16"/>
        </w:rPr>
        <w:t>Keterangan Variabel:</w:t>
        <w:br/>
      </w:r>
      <w:r>
        <w:rPr>
          <w:b/>
          <w:i w:val="0"/>
          <w:color w:val="1B5E20"/>
          <w:sz w:val="16"/>
        </w:rPr>
        <w:t xml:space="preserve">- Kategori Ekspansi Industri: </w:t>
      </w:r>
      <w:r>
        <w:rPr>
          <w:b w:val="0"/>
          <w:i w:val="0"/>
          <w:color w:val="444444"/>
          <w:sz w:val="16"/>
        </w:rPr>
        <w:t>IUP Tinggi jika Luas_IUP_Kawasan_Ha &gt;= median panel (138,148.8 Ha); selain itu IUP Rendah.</w:t>
        <w:br/>
      </w:r>
      <w:r>
        <w:rPr>
          <w:b/>
          <w:i w:val="0"/>
          <w:color w:val="1B5E20"/>
          <w:sz w:val="16"/>
        </w:rPr>
        <w:t xml:space="preserve">- Kategori Deforestasi: </w:t>
      </w:r>
      <w:r>
        <w:rPr>
          <w:b w:val="0"/>
          <w:i w:val="0"/>
          <w:color w:val="444444"/>
          <w:sz w:val="16"/>
        </w:rPr>
        <w:t>Deforestasi Tinggi/Parah jika Total_Deforestasi_Ha &gt;= median panel (15,917.7 Ha); selain itu Deforestasi Rendah.</w:t>
        <w:br/>
      </w:r>
      <w:r>
        <w:rPr>
          <w:b/>
          <w:i w:val="0"/>
          <w:color w:val="1B5E20"/>
          <w:sz w:val="16"/>
        </w:rPr>
        <w:t xml:space="preserve">- Median(Seluruh Panel): </w:t>
      </w:r>
      <w:r>
        <w:rPr>
          <w:b w:val="0"/>
          <w:i w:val="0"/>
          <w:color w:val="444444"/>
          <w:sz w:val="16"/>
        </w:rPr>
        <w:t>Ambang batas dari seluruh observasi panel valid N=60.</w:t>
      </w:r>
    </w:p>
    <w:p>
      <w:pPr>
        <w:spacing w:before="120" w:after="20"/>
      </w:pPr>
      <w:r>
        <w:rPr>
          <w:b/>
          <w:i/>
          <w:color w:val="2E7D32"/>
          <w:sz w:val="17"/>
        </w:rPr>
        <w:t>Persamaan: Persamaan Uji Independensi Chi-Square Pearson (χ²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luasan ekspansi industri dan kehilangan tutupan pohon pada panel spasiotemporal N=60.</w:t>
        <w:br/>
      </w:r>
      <w:r>
        <w:rPr>
          <w:b/>
          <w:i w:val="0"/>
          <w:color w:val="1B5E20"/>
          <w:sz w:val="16"/>
        </w:rPr>
        <w:t xml:space="preserve">- Frekuensi_Observasi (O): </w:t>
      </w:r>
      <w:r>
        <w:rPr>
          <w:b w:val="0"/>
          <w:i w:val="0"/>
          <w:color w:val="444444"/>
          <w:sz w:val="16"/>
        </w:rPr>
        <w:t>Jumlah kasus aktual yang tercatat pada sel tabel kontinjensi 2x2.</w:t>
        <w:br/>
      </w:r>
      <w:r>
        <w:rPr>
          <w:b/>
          <w:i w:val="0"/>
          <w:color w:val="1B5E20"/>
          <w:sz w:val="16"/>
        </w:rPr>
        <w:t xml:space="preserve">- Frekuensi_Harapan (E): </w:t>
      </w:r>
      <w:r>
        <w:rPr>
          <w:b w:val="0"/>
          <w:i w:val="0"/>
          <w:color w:val="444444"/>
          <w:sz w:val="16"/>
        </w:rPr>
        <w:t>Jumlah kasus teoretis jika ekspansi industri dan deforestasi saling independen: E = (Total Baris * Total Kolom) / N.</w:t>
      </w:r>
    </w:p>
    <w:p>
      <w:pPr>
        <w:spacing w:before="120" w:after="20"/>
      </w:pPr>
      <w:r>
        <w:rPr>
          <w:b/>
          <w:i/>
          <w:color w:val="2E7D32"/>
          <w:sz w:val="17"/>
        </w:rPr>
        <w:t>Persamaan: Persamaan Rasio Keunggulan Risiko Deforestasi Parah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kelipatan peluang munculnya Deforestasi Tinggi/Parah pada kelompok IUP Tinggi dibandingkan kelompok IUP Rendah.</w:t>
        <w:br/>
      </w:r>
      <w:r>
        <w:rPr>
          <w:b/>
          <w:i w:val="0"/>
          <w:color w:val="1B5E20"/>
          <w:sz w:val="16"/>
        </w:rPr>
        <w:t xml:space="preserve">- a: </w:t>
      </w:r>
      <w:r>
        <w:rPr>
          <w:b w:val="0"/>
          <w:i w:val="0"/>
          <w:color w:val="444444"/>
          <w:sz w:val="16"/>
        </w:rPr>
        <w:t>Jumlah observasi panel pada kelompok IUP Tinggi dan Deforestasi Tinggi/Parah (27 kasus).</w:t>
        <w:br/>
      </w:r>
      <w:r>
        <w:rPr>
          <w:b/>
          <w:i w:val="0"/>
          <w:color w:val="1B5E20"/>
          <w:sz w:val="16"/>
        </w:rPr>
        <w:t xml:space="preserve">- b: </w:t>
      </w:r>
      <w:r>
        <w:rPr>
          <w:b w:val="0"/>
          <w:i w:val="0"/>
          <w:color w:val="444444"/>
          <w:sz w:val="16"/>
        </w:rPr>
        <w:t>Jumlah observasi panel pada kelompok IUP Tinggi dan Deforestasi Rendah (3 kasus).</w:t>
        <w:br/>
      </w:r>
      <w:r>
        <w:rPr>
          <w:b/>
          <w:i w:val="0"/>
          <w:color w:val="1B5E20"/>
          <w:sz w:val="16"/>
        </w:rPr>
        <w:t xml:space="preserve">- c: </w:t>
      </w:r>
      <w:r>
        <w:rPr>
          <w:b w:val="0"/>
          <w:i w:val="0"/>
          <w:color w:val="444444"/>
          <w:sz w:val="16"/>
        </w:rPr>
        <w:t>Jumlah observasi panel pada kelompok IUP Rendah dan Deforestasi Tinggi/Parah (3 kasus).</w:t>
        <w:br/>
      </w:r>
      <w:r>
        <w:rPr>
          <w:b/>
          <w:i w:val="0"/>
          <w:color w:val="1B5E20"/>
          <w:sz w:val="16"/>
        </w:rPr>
        <w:t xml:space="preserve">- d: </w:t>
      </w:r>
      <w:r>
        <w:rPr>
          <w:b w:val="0"/>
          <w:i w:val="0"/>
          <w:color w:val="444444"/>
          <w:sz w:val="16"/>
        </w:rPr>
        <w:t>Jumlah observasi panel pada kelompok IUP Rendah dan Deforestasi Rendah (27 kasus).</w:t>
      </w:r>
    </w:p>
    <w:p>
      <w:pPr>
        <w:spacing w:before="160" w:after="40"/>
      </w:pPr>
      <w:r>
        <w:rPr>
          <w:b/>
          <w:i w:val="0"/>
          <w:color w:val="2E7D32"/>
          <w:sz w:val="19"/>
        </w:rPr>
        <w:t>D. Matriks Hasil Uji Empiris: Alokasi Ruang Konsesi vs Deforestasi Kumulatif</w:t>
      </w:r>
    </w:p>
    <w:p>
      <w:pPr>
        <w:spacing w:after="100"/>
        <w:jc w:val="both"/>
      </w:pPr>
      <w:r>
        <w:rPr>
          <w:b w:val="0"/>
          <w:i w:val="0"/>
          <w:color w:val="222222"/>
          <w:sz w:val="19"/>
        </w:rPr>
        <w:t xml:space="preserve">Akumulasi alokasi ruang konsesi IUP-Kawasan Industri dan deforestasi kumulatif dekade 2014-2023 pada masing-masing provinsi dapat dilihat secara empiris pada </w:t>
      </w:r>
      <w:r>
        <w:rPr>
          <w:b/>
          <w:i w:val="0"/>
          <w:color w:val="222222"/>
          <w:sz w:val="19"/>
        </w:rPr>
        <w:t>Tabel 2.5</w:t>
      </w:r>
      <w:r>
        <w:rPr>
          <w:b w:val="0"/>
          <w:i w:val="0"/>
          <w:color w:val="222222"/>
          <w:sz w:val="19"/>
        </w:rPr>
        <w:t xml:space="preserve"> berikut:</w:t>
      </w:r>
    </w:p>
    <w:p>
      <w:pPr>
        <w:spacing w:before="120" w:after="40"/>
      </w:pPr>
      <w:r>
        <w:rPr>
          <w:b/>
          <w:i/>
          <w:color w:val="2E7D32"/>
          <w:sz w:val="17"/>
        </w:rPr>
        <w:t>Tabel 2.5: Rincian Empiris Luas Konsesi IUP-Kawasan Industri dan Deforestasi Kumulatif per Provinsi (2014-2023)</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92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Provinsi</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Luas IUP &amp; Kawasan (Ha)</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Konsesi Baru Kumulatif 2014-2023 (Ha)</w:t>
            </w:r>
          </w:p>
        </w:tc>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Deforestasi Kumulatif 2014-2023 (Ha)</w:t>
            </w:r>
          </w:p>
        </w:tc>
      </w:tr>
      <w:tr>
        <w:tc>
          <w:tcPr>
            <w:tcW w:type="dxa" w:w="192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453,216</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387,124</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481,908</w:t>
            </w:r>
          </w:p>
        </w:tc>
      </w:tr>
      <w:tr>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446,025</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212,717</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337,434</w:t>
            </w:r>
          </w:p>
        </w:tc>
      </w:tr>
      <w:tr>
        <w:tc>
          <w:tcPr>
            <w:tcW w:type="dxa" w:w="192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181,469</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123,065</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261,147</w:t>
            </w:r>
          </w:p>
        </w:tc>
      </w:tr>
      <w:tr>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94,829</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89,170</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74,240</w:t>
            </w:r>
          </w:p>
        </w:tc>
      </w:tr>
      <w:tr>
        <w:tc>
          <w:tcPr>
            <w:tcW w:type="dxa" w:w="192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5,212</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5,212</w:t>
            </w:r>
          </w:p>
        </w:tc>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98,063</w:t>
            </w:r>
          </w:p>
        </w:tc>
      </w:tr>
      <w:tr>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Barat</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4,424</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2,163</w:t>
            </w:r>
          </w:p>
        </w:tc>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133,263</w:t>
            </w:r>
          </w:p>
        </w:tc>
      </w:tr>
    </w:tbl>
    <w:p>
      <w:pPr>
        <w:spacing w:before="40" w:after="80"/>
      </w:pPr>
    </w:p>
    <w:p>
      <w:pPr>
        <w:spacing w:after="100"/>
        <w:jc w:val="both"/>
      </w:pPr>
      <w:r>
        <w:rPr>
          <w:b w:val="0"/>
          <w:i w:val="0"/>
          <w:color w:val="222222"/>
          <w:sz w:val="19"/>
        </w:rPr>
        <w:t xml:space="preserve">Penerapan pengujian statistik tabulasi silang pada data panel provinsi-tahun periode 2014-2023 (total 60 observasi valid) disajikan secara ringkas pada </w:t>
      </w:r>
      <w:r>
        <w:rPr>
          <w:b/>
          <w:i w:val="0"/>
          <w:color w:val="222222"/>
          <w:sz w:val="19"/>
        </w:rPr>
        <w:t>Tabel 2.6</w:t>
      </w:r>
      <w:r>
        <w:rPr>
          <w:b w:val="0"/>
          <w:i w:val="0"/>
          <w:color w:val="222222"/>
          <w:sz w:val="19"/>
        </w:rPr>
        <w:t xml:space="preserve"> berikut:</w:t>
      </w:r>
    </w:p>
    <w:p>
      <w:pPr>
        <w:spacing w:before="120" w:after="40"/>
      </w:pPr>
      <w:r>
        <w:rPr>
          <w:b/>
          <w:i/>
          <w:color w:val="2E7D32"/>
          <w:sz w:val="17"/>
        </w:rPr>
        <w:t>Tabel 2.6: Ringkasan Eksekutif Skenario Crosstab Ekspansi Industri vs Deforestasi Bab 2</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Independen (X)</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Odds Ratio</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Kesimpulan</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Luas Ekspansi Industri (Ha)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Kehilangan Tutupan Pohon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35.267</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 &lt; 0.001</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81.0</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SIGNIFIKAN</w:t>
            </w:r>
          </w:p>
        </w:tc>
      </w:tr>
    </w:tbl>
    <w:p>
      <w:pPr>
        <w:spacing w:before="40" w:after="80"/>
      </w:pPr>
    </w:p>
    <w:p>
      <w:pPr>
        <w:spacing w:before="160" w:after="40"/>
      </w:pPr>
      <w:r>
        <w:rPr>
          <w:b/>
          <w:i w:val="0"/>
          <w:color w:val="2E7D32"/>
          <w:sz w:val="19"/>
        </w:rPr>
        <w:t>E. Analisis Temuan Empiris: Eksekusi Ruang dan Laju Deforestasi</w:t>
      </w:r>
    </w:p>
    <w:p>
      <w:pPr>
        <w:spacing w:after="100"/>
        <w:jc w:val="both"/>
      </w:pPr>
      <w:r>
        <w:rPr>
          <w:b w:val="0"/>
          <w:i w:val="0"/>
          <w:color w:val="222222"/>
          <w:sz w:val="19"/>
        </w:rPr>
        <w:t>Hasil pengujian mengonfirmasi secara SIGNIFIKAN bahwa perluasan kawasan industri dan izin pertambangan baru memiliki korelasi positif dengan tingkat deforestasi. Temuan statistik mengonfirmasi bahwa peningkatan luasan Ekspansi Industri berkorelasi signifikan dengan kenaikan tingkat Deforestasi.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