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b/>
          <w:i w:val="0"/>
          <w:color w:val="2E7D32"/>
          <w:sz w:val="15"/>
        </w:rPr>
        <w:t>CELIOS — CENTER OF ECONOMIC AND LAW STUDIES  |  LAPORAN RISET METODOLOGI D3TLH</w:t>
      </w:r>
    </w:p>
    <w:p>
      <w:pPr>
        <w:spacing w:before="60" w:after="30"/>
        <w:pBdr>
          <w:bottom w:val="single" w:sz="8" w:space="1" w:color="1B5E20"/>
        </w:pBdr>
      </w:pPr>
      <w:r>
        <w:rPr>
          <w:b/>
          <w:i w:val="0"/>
          <w:color w:val="1B5E20"/>
          <w:sz w:val="20"/>
        </w:rPr>
        <w:t>BAB II: METODOLOGI ANALISIS KUALITAS LINGKUNGAN DI KAWASAN SMELTER</w:t>
      </w:r>
    </w:p>
    <w:p>
      <w:pPr>
        <w:spacing w:before="0" w:after="40" w:line="252" w:lineRule="auto"/>
        <w:jc w:val="both"/>
      </w:pPr>
      <w:r>
        <w:rPr>
          <w:b w:val="0"/>
          <w:i w:val="0"/>
          <w:color w:val="222222"/>
          <w:sz w:val="17"/>
        </w:rPr>
        <w:t xml:space="preserve">Dokumen laporan metodologi ini menyajikan kerangka ilmiah, formulasi matematis, prosedur pengolahan data, dan pengujian statistik yang dioperasionalkan pada </w:t>
      </w:r>
      <w:r>
        <w:rPr>
          <w:b/>
          <w:i w:val="0"/>
          <w:color w:val="222222"/>
          <w:sz w:val="17"/>
        </w:rPr>
        <w:t>Bab 2: Kualitas Lingkungan di Kawasan Smelter</w:t>
      </w:r>
      <w:r>
        <w:rPr>
          <w:b w:val="0"/>
          <w:i w:val="0"/>
          <w:color w:val="222222"/>
          <w:sz w:val="17"/>
        </w:rPr>
        <w:t xml:space="preserve"> dalam studi Daya Dukung dan Daya Tampung Lingkungan Hidup (D3TLH) Sulawesi periode 2014–2024.</w:t>
      </w:r>
    </w:p>
    <w:p>
      <w:pPr>
        <w:spacing w:before="70" w:after="20"/>
        <w:pBdr>
          <w:bottom w:val="single" w:sz="4" w:space="1" w:color="2E7D32"/>
        </w:pBdr>
      </w:pPr>
      <w:r>
        <w:rPr>
          <w:b/>
          <w:i w:val="0"/>
          <w:color w:val="1B5E20"/>
          <w:sz w:val="18"/>
        </w:rPr>
        <w:t>2.1. Dampak Limbah Tailing: Konsentrasi Smelter vs Indeks Kualitas Air (IKA)</w:t>
      </w:r>
    </w:p>
    <w:p>
      <w:pPr>
        <w:spacing w:before="0" w:after="40" w:line="252" w:lineRule="auto"/>
        <w:jc w:val="both"/>
      </w:pPr>
      <w:r>
        <w:rPr>
          <w:b w:val="0"/>
          <w:i w:val="0"/>
          <w:color w:val="222222"/>
          <w:sz w:val="17"/>
        </w:rPr>
        <w:t xml:space="preserve">Pengoperasian </w:t>
      </w:r>
      <w:r>
        <w:rPr>
          <w:b/>
          <w:i w:val="0"/>
          <w:color w:val="222222"/>
          <w:sz w:val="17"/>
        </w:rPr>
        <w:t>778 fasilitas mega-smelter</w:t>
      </w:r>
      <w:r>
        <w:rPr>
          <w:b w:val="0"/>
          <w:i w:val="0"/>
          <w:color w:val="222222"/>
          <w:sz w:val="17"/>
        </w:rPr>
        <w:t xml:space="preserve"> yang didukung oleh kapasitas </w:t>
      </w:r>
      <w:r>
        <w:rPr>
          <w:b/>
          <w:i w:val="0"/>
          <w:color w:val="222222"/>
          <w:sz w:val="17"/>
        </w:rPr>
        <w:t>9.825 MW PLTU Captive</w:t>
      </w:r>
      <w:r>
        <w:rPr>
          <w:b w:val="0"/>
          <w:i w:val="0"/>
          <w:color w:val="222222"/>
          <w:sz w:val="17"/>
        </w:rPr>
        <w:t xml:space="preserve"> meningkatkan intensitas emisi dan beban lingkungan di Pulau Sulawesi. Konversi tutupan hutan mencapai </w:t>
      </w:r>
      <w:r>
        <w:rPr>
          <w:b/>
          <w:i w:val="0"/>
          <w:color w:val="222222"/>
          <w:sz w:val="17"/>
        </w:rPr>
        <w:t>1.001.654 Hektar</w:t>
      </w:r>
      <w:r>
        <w:rPr>
          <w:b w:val="0"/>
          <w:i w:val="0"/>
          <w:color w:val="222222"/>
          <w:sz w:val="17"/>
        </w:rPr>
        <w:t xml:space="preserve">, estimasi timbulan limbah B3/tailing sebesar </w:t>
      </w:r>
      <w:r>
        <w:rPr>
          <w:b/>
          <w:i w:val="0"/>
          <w:color w:val="222222"/>
          <w:sz w:val="17"/>
        </w:rPr>
        <w:t>20,9 Juta Ton per tahun</w:t>
      </w:r>
      <w:r>
        <w:rPr>
          <w:b w:val="0"/>
          <w:i w:val="0"/>
          <w:color w:val="222222"/>
          <w:sz w:val="17"/>
        </w:rPr>
        <w:t xml:space="preserve">, dan rata-rata Indeks Kualitas Air (IKA) tahun 2024 sebesar </w:t>
      </w:r>
      <w:r>
        <w:rPr>
          <w:b/>
          <w:i w:val="0"/>
          <w:color w:val="222222"/>
          <w:sz w:val="17"/>
        </w:rPr>
        <w:t>59,7</w:t>
      </w:r>
      <w:r>
        <w:rPr>
          <w:b w:val="0"/>
          <w:i w:val="0"/>
          <w:color w:val="222222"/>
          <w:sz w:val="17"/>
        </w:rPr>
        <w:t>.</w:t>
      </w:r>
    </w:p>
    <w:p>
      <w:pPr>
        <w:spacing w:before="20" w:after="40" w:line="252" w:lineRule="auto"/>
        <w:ind w:left="100"/>
        <w:pBdr>
          <w:left w:val="single" w:sz="10" w:space="4" w:color="2E7D32"/>
        </w:pBdr>
        <w:shd w:val="clear" w:color="auto" w:fill="F1F8E9"/>
      </w:pPr>
      <w:r>
        <w:rPr>
          <w:b/>
          <w:i w:val="0"/>
          <w:color w:val="1B5E20"/>
          <w:sz w:val="15"/>
        </w:rPr>
        <w:t xml:space="preserve">Sumber Data: </w:t>
      </w:r>
      <w:r>
        <w:rPr>
          <w:b w:val="0"/>
          <w:i/>
          <w:color w:val="333333"/>
          <w:sz w:val="15"/>
        </w:rPr>
        <w:t>Data Smelter: sulawesi_esdm_nikel.csv; Data IKA: sulawesi_ika_2016_2024.csv; Data Limbah B3: sulawesi_limbah_b3_ngo_proxy.csv; Data Sungai Tercemar: sulawesi_sungai_tercemar.csv.</w:t>
      </w:r>
    </w:p>
    <w:p>
      <w:pPr>
        <w:spacing w:before="40" w:after="20"/>
      </w:pPr>
      <w:r>
        <w:rPr>
          <w:b/>
          <w:i/>
          <w:color w:val="2E7D32"/>
          <w:sz w:val="15"/>
        </w:rPr>
        <w:t>Tabel 2.1: Rincian Empiris Konsentrasi Smelter, IKA, Limbah B3, dan Sungai Tercemar per Provinsi (2024)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  <w:gridCol w:w="1813"/>
      </w:tblGrid>
      <w:tr>
        <w:tc>
          <w:tcPr>
            <w:tcW w:type="dxa" w:w="1814"/>
            <w:shd w:val="clear" w:color="auto" w:fill="2E7D32"/>
            <w:tcMar>
              <w:top w:w="18" w:type="dxa"/>
              <w:bottom w:w="18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8" w:color="1B5E20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/>
                <w:i w:val="0"/>
                <w:color w:val="FFFFFF"/>
                <w:sz w:val="15"/>
              </w:rPr>
              <w:t>Provinsi</w:t>
            </w:r>
          </w:p>
        </w:tc>
        <w:tc>
          <w:tcPr>
            <w:tcW w:type="dxa" w:w="1247"/>
            <w:shd w:val="clear" w:color="auto" w:fill="2E7D32"/>
            <w:tcMar>
              <w:top w:w="18" w:type="dxa"/>
              <w:bottom w:w="18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8" w:color="1B5E20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i w:val="0"/>
                <w:color w:val="FFFFFF"/>
                <w:sz w:val="15"/>
              </w:rPr>
              <w:t>Smelter (Unit)</w:t>
            </w:r>
          </w:p>
        </w:tc>
        <w:tc>
          <w:tcPr>
            <w:tcW w:type="dxa" w:w="1020"/>
            <w:shd w:val="clear" w:color="auto" w:fill="2E7D32"/>
            <w:tcMar>
              <w:top w:w="18" w:type="dxa"/>
              <w:bottom w:w="18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8" w:color="1B5E20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i w:val="0"/>
                <w:color w:val="FFFFFF"/>
                <w:sz w:val="15"/>
              </w:rPr>
              <w:t>Skor IKA</w:t>
            </w:r>
          </w:p>
        </w:tc>
        <w:tc>
          <w:tcPr>
            <w:tcW w:type="dxa" w:w="1814"/>
            <w:shd w:val="clear" w:color="auto" w:fill="2E7D32"/>
            <w:tcMar>
              <w:top w:w="18" w:type="dxa"/>
              <w:bottom w:w="18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8" w:color="1B5E20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/>
                <w:i w:val="0"/>
                <w:color w:val="FFFFFF"/>
                <w:sz w:val="15"/>
              </w:rPr>
              <w:t>Limbah B3 (Ton/Thn)</w:t>
            </w:r>
          </w:p>
        </w:tc>
        <w:tc>
          <w:tcPr>
            <w:tcW w:type="dxa" w:w="1247"/>
            <w:shd w:val="clear" w:color="auto" w:fill="2E7D32"/>
            <w:tcMar>
              <w:top w:w="18" w:type="dxa"/>
              <w:bottom w:w="18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8" w:color="1B5E20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i w:val="0"/>
                <w:color w:val="FFFFFF"/>
                <w:sz w:val="15"/>
              </w:rPr>
              <w:t>Sungai Tercemar</w:t>
            </w:r>
          </w:p>
        </w:tc>
        <w:tc>
          <w:tcPr>
            <w:tcW w:type="dxa" w:w="3402"/>
            <w:shd w:val="clear" w:color="auto" w:fill="2E7D32"/>
            <w:tcMar>
              <w:top w:w="18" w:type="dxa"/>
              <w:bottom w:w="18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8" w:color="1B5E20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/>
                <w:i w:val="0"/>
                <w:color w:val="FFFFFF"/>
                <w:sz w:val="15"/>
              </w:rPr>
              <w:t>Daftar Sungai / Pesisir Terdampak</w:t>
            </w:r>
          </w:p>
        </w:tc>
      </w:tr>
      <w:tr>
        <w:tc>
          <w:tcPr>
            <w:tcW w:type="dxa" w:w="1814"/>
            <w:shd w:val="clear" w:color="auto" w:fill="FFFFFF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/>
                <w:i w:val="0"/>
                <w:color w:val="222222"/>
                <w:sz w:val="14"/>
              </w:rPr>
              <w:t>Sulawesi Tengah</w:t>
            </w:r>
          </w:p>
        </w:tc>
        <w:tc>
          <w:tcPr>
            <w:tcW w:type="dxa" w:w="1247"/>
            <w:shd w:val="clear" w:color="auto" w:fill="FFFFFF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color w:val="222222"/>
                <w:sz w:val="14"/>
              </w:rPr>
              <w:t>344</w:t>
            </w:r>
          </w:p>
        </w:tc>
        <w:tc>
          <w:tcPr>
            <w:tcW w:type="dxa" w:w="1020"/>
            <w:shd w:val="clear" w:color="auto" w:fill="FFFFFF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color w:val="222222"/>
                <w:sz w:val="14"/>
              </w:rPr>
              <w:t>62.1</w:t>
            </w:r>
          </w:p>
        </w:tc>
        <w:tc>
          <w:tcPr>
            <w:tcW w:type="dxa" w:w="1814"/>
            <w:shd w:val="clear" w:color="auto" w:fill="FFFFFF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b w:val="0"/>
                <w:i w:val="0"/>
                <w:color w:val="222222"/>
                <w:sz w:val="14"/>
              </w:rPr>
              <w:t>12,000,000</w:t>
            </w:r>
          </w:p>
        </w:tc>
        <w:tc>
          <w:tcPr>
            <w:tcW w:type="dxa" w:w="1247"/>
            <w:shd w:val="clear" w:color="auto" w:fill="FFFFFF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color w:val="222222"/>
                <w:sz w:val="14"/>
              </w:rPr>
              <w:t>4</w:t>
            </w:r>
          </w:p>
        </w:tc>
        <w:tc>
          <w:tcPr>
            <w:tcW w:type="dxa" w:w="3402"/>
            <w:shd w:val="clear" w:color="auto" w:fill="FFFFFF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color w:val="222222"/>
                <w:sz w:val="14"/>
              </w:rPr>
              <w:t>Sungai Bahodopi, Laroenai, Morowali, Pesisir Fatufia</w:t>
            </w:r>
          </w:p>
        </w:tc>
      </w:tr>
      <w:tr>
        <w:tc>
          <w:tcPr>
            <w:tcW w:type="dxa" w:w="1814"/>
            <w:shd w:val="clear" w:color="auto" w:fill="F9FBF9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/>
                <w:i w:val="0"/>
                <w:color w:val="222222"/>
                <w:sz w:val="14"/>
              </w:rPr>
              <w:t>Sulawesi Tenggara</w:t>
            </w:r>
          </w:p>
        </w:tc>
        <w:tc>
          <w:tcPr>
            <w:tcW w:type="dxa" w:w="1247"/>
            <w:shd w:val="clear" w:color="auto" w:fill="F9FBF9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color w:val="222222"/>
                <w:sz w:val="14"/>
              </w:rPr>
              <w:t>262</w:t>
            </w:r>
          </w:p>
        </w:tc>
        <w:tc>
          <w:tcPr>
            <w:tcW w:type="dxa" w:w="1020"/>
            <w:shd w:val="clear" w:color="auto" w:fill="F9FBF9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color w:val="222222"/>
                <w:sz w:val="14"/>
              </w:rPr>
              <w:t>65.3</w:t>
            </w:r>
          </w:p>
        </w:tc>
        <w:tc>
          <w:tcPr>
            <w:tcW w:type="dxa" w:w="1814"/>
            <w:shd w:val="clear" w:color="auto" w:fill="F9FBF9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b w:val="0"/>
                <w:i w:val="0"/>
                <w:color w:val="222222"/>
                <w:sz w:val="14"/>
              </w:rPr>
              <w:t>7,700,000</w:t>
            </w:r>
          </w:p>
        </w:tc>
        <w:tc>
          <w:tcPr>
            <w:tcW w:type="dxa" w:w="1247"/>
            <w:shd w:val="clear" w:color="auto" w:fill="F9FBF9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color w:val="222222"/>
                <w:sz w:val="14"/>
              </w:rPr>
              <w:t>3</w:t>
            </w:r>
          </w:p>
        </w:tc>
        <w:tc>
          <w:tcPr>
            <w:tcW w:type="dxa" w:w="3402"/>
            <w:shd w:val="clear" w:color="auto" w:fill="F9FBF9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color w:val="222222"/>
                <w:sz w:val="14"/>
              </w:rPr>
              <w:t>Sungai Lasolo, Sungai Lalindu, Sungai Konaweha</w:t>
            </w:r>
          </w:p>
        </w:tc>
      </w:tr>
      <w:tr>
        <w:tc>
          <w:tcPr>
            <w:tcW w:type="dxa" w:w="1814"/>
            <w:shd w:val="clear" w:color="auto" w:fill="FFFFFF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/>
                <w:i w:val="0"/>
                <w:color w:val="222222"/>
                <w:sz w:val="14"/>
              </w:rPr>
              <w:t>Sulawesi Selatan</w:t>
            </w:r>
          </w:p>
        </w:tc>
        <w:tc>
          <w:tcPr>
            <w:tcW w:type="dxa" w:w="1247"/>
            <w:shd w:val="clear" w:color="auto" w:fill="FFFFFF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color w:val="222222"/>
                <w:sz w:val="14"/>
              </w:rPr>
              <w:t>111</w:t>
            </w:r>
          </w:p>
        </w:tc>
        <w:tc>
          <w:tcPr>
            <w:tcW w:type="dxa" w:w="1020"/>
            <w:shd w:val="clear" w:color="auto" w:fill="FFFFFF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color w:val="222222"/>
                <w:sz w:val="14"/>
              </w:rPr>
              <w:t>58.5</w:t>
            </w:r>
          </w:p>
        </w:tc>
        <w:tc>
          <w:tcPr>
            <w:tcW w:type="dxa" w:w="1814"/>
            <w:shd w:val="clear" w:color="auto" w:fill="FFFFFF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b w:val="0"/>
                <w:i w:val="0"/>
                <w:color w:val="222222"/>
                <w:sz w:val="14"/>
              </w:rPr>
              <w:t>1,000,000</w:t>
            </w:r>
          </w:p>
        </w:tc>
        <w:tc>
          <w:tcPr>
            <w:tcW w:type="dxa" w:w="1247"/>
            <w:shd w:val="clear" w:color="auto" w:fill="FFFFFF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color w:val="222222"/>
                <w:sz w:val="14"/>
              </w:rPr>
              <w:t>1</w:t>
            </w:r>
          </w:p>
        </w:tc>
        <w:tc>
          <w:tcPr>
            <w:tcW w:type="dxa" w:w="3402"/>
            <w:shd w:val="clear" w:color="auto" w:fill="FFFFFF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color w:val="222222"/>
                <w:sz w:val="14"/>
              </w:rPr>
              <w:t>Pesisir dan Sungai Bantaeng</w:t>
            </w:r>
          </w:p>
        </w:tc>
      </w:tr>
      <w:tr>
        <w:tc>
          <w:tcPr>
            <w:tcW w:type="dxa" w:w="1814"/>
            <w:shd w:val="clear" w:color="auto" w:fill="F9FBF9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/>
                <w:i w:val="0"/>
                <w:color w:val="222222"/>
                <w:sz w:val="14"/>
              </w:rPr>
              <w:t>Sulawesi Barat</w:t>
            </w:r>
          </w:p>
        </w:tc>
        <w:tc>
          <w:tcPr>
            <w:tcW w:type="dxa" w:w="1247"/>
            <w:shd w:val="clear" w:color="auto" w:fill="F9FBF9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color w:val="222222"/>
                <w:sz w:val="14"/>
              </w:rPr>
              <w:t>39</w:t>
            </w:r>
          </w:p>
        </w:tc>
        <w:tc>
          <w:tcPr>
            <w:tcW w:type="dxa" w:w="1020"/>
            <w:shd w:val="clear" w:color="auto" w:fill="F9FBF9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color w:val="222222"/>
                <w:sz w:val="14"/>
              </w:rPr>
              <w:t>55.9</w:t>
            </w:r>
          </w:p>
        </w:tc>
        <w:tc>
          <w:tcPr>
            <w:tcW w:type="dxa" w:w="1814"/>
            <w:shd w:val="clear" w:color="auto" w:fill="F9FBF9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b w:val="0"/>
                <w:i w:val="0"/>
                <w:color w:val="222222"/>
                <w:sz w:val="14"/>
              </w:rPr>
              <w:t>0</w:t>
            </w:r>
          </w:p>
        </w:tc>
        <w:tc>
          <w:tcPr>
            <w:tcW w:type="dxa" w:w="1247"/>
            <w:shd w:val="clear" w:color="auto" w:fill="F9FBF9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color w:val="222222"/>
                <w:sz w:val="14"/>
              </w:rPr>
              <w:t>0</w:t>
            </w:r>
          </w:p>
        </w:tc>
        <w:tc>
          <w:tcPr>
            <w:tcW w:type="dxa" w:w="3402"/>
            <w:shd w:val="clear" w:color="auto" w:fill="F9FBF9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color w:val="222222"/>
                <w:sz w:val="14"/>
              </w:rPr>
              <w:t>Tidak teridentifikasi pembuangan tailing smelter</w:t>
            </w:r>
          </w:p>
        </w:tc>
      </w:tr>
      <w:tr>
        <w:tc>
          <w:tcPr>
            <w:tcW w:type="dxa" w:w="1814"/>
            <w:shd w:val="clear" w:color="auto" w:fill="FFFFFF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/>
                <w:i w:val="0"/>
                <w:color w:val="222222"/>
                <w:sz w:val="14"/>
              </w:rPr>
              <w:t>Sulawesi Utara</w:t>
            </w:r>
          </w:p>
        </w:tc>
        <w:tc>
          <w:tcPr>
            <w:tcW w:type="dxa" w:w="1247"/>
            <w:shd w:val="clear" w:color="auto" w:fill="FFFFFF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color w:val="222222"/>
                <w:sz w:val="14"/>
              </w:rPr>
              <w:t>15</w:t>
            </w:r>
          </w:p>
        </w:tc>
        <w:tc>
          <w:tcPr>
            <w:tcW w:type="dxa" w:w="1020"/>
            <w:shd w:val="clear" w:color="auto" w:fill="FFFFFF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color w:val="222222"/>
                <w:sz w:val="14"/>
              </w:rPr>
              <w:t>58.2</w:t>
            </w:r>
          </w:p>
        </w:tc>
        <w:tc>
          <w:tcPr>
            <w:tcW w:type="dxa" w:w="1814"/>
            <w:shd w:val="clear" w:color="auto" w:fill="FFFFFF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b w:val="0"/>
                <w:i w:val="0"/>
                <w:color w:val="222222"/>
                <w:sz w:val="14"/>
              </w:rPr>
              <w:t>0</w:t>
            </w:r>
          </w:p>
        </w:tc>
        <w:tc>
          <w:tcPr>
            <w:tcW w:type="dxa" w:w="1247"/>
            <w:shd w:val="clear" w:color="auto" w:fill="FFFFFF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color w:val="222222"/>
                <w:sz w:val="14"/>
              </w:rPr>
              <w:t>0</w:t>
            </w:r>
          </w:p>
        </w:tc>
        <w:tc>
          <w:tcPr>
            <w:tcW w:type="dxa" w:w="3402"/>
            <w:shd w:val="clear" w:color="auto" w:fill="FFFFFF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color w:val="222222"/>
                <w:sz w:val="14"/>
              </w:rPr>
              <w:t>Tidak teridentifikasi pembuangan tailing smelter</w:t>
            </w:r>
          </w:p>
        </w:tc>
      </w:tr>
      <w:tr>
        <w:tc>
          <w:tcPr>
            <w:tcW w:type="dxa" w:w="1814"/>
            <w:shd w:val="clear" w:color="auto" w:fill="F9FBF9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/>
                <w:i w:val="0"/>
                <w:color w:val="222222"/>
                <w:sz w:val="14"/>
              </w:rPr>
              <w:t>Gorontalo</w:t>
            </w:r>
          </w:p>
        </w:tc>
        <w:tc>
          <w:tcPr>
            <w:tcW w:type="dxa" w:w="1247"/>
            <w:shd w:val="clear" w:color="auto" w:fill="F9FBF9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color w:val="222222"/>
                <w:sz w:val="14"/>
              </w:rPr>
              <w:t>7</w:t>
            </w:r>
          </w:p>
        </w:tc>
        <w:tc>
          <w:tcPr>
            <w:tcW w:type="dxa" w:w="1020"/>
            <w:shd w:val="clear" w:color="auto" w:fill="F9FBF9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color w:val="222222"/>
                <w:sz w:val="14"/>
              </w:rPr>
              <w:t>58.1</w:t>
            </w:r>
          </w:p>
        </w:tc>
        <w:tc>
          <w:tcPr>
            <w:tcW w:type="dxa" w:w="1814"/>
            <w:shd w:val="clear" w:color="auto" w:fill="F9FBF9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b w:val="0"/>
                <w:i w:val="0"/>
                <w:color w:val="222222"/>
                <w:sz w:val="14"/>
              </w:rPr>
              <w:t>0</w:t>
            </w:r>
          </w:p>
        </w:tc>
        <w:tc>
          <w:tcPr>
            <w:tcW w:type="dxa" w:w="1247"/>
            <w:shd w:val="clear" w:color="auto" w:fill="F9FBF9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color w:val="222222"/>
                <w:sz w:val="14"/>
              </w:rPr>
              <w:t>0</w:t>
            </w:r>
          </w:p>
        </w:tc>
        <w:tc>
          <w:tcPr>
            <w:tcW w:type="dxa" w:w="3402"/>
            <w:shd w:val="clear" w:color="auto" w:fill="F9FBF9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color w:val="222222"/>
                <w:sz w:val="14"/>
              </w:rPr>
              <w:t>Tidak teridentifikasi pembuangan tailing smelter</w:t>
            </w:r>
          </w:p>
        </w:tc>
      </w:tr>
    </w:tbl>
    <w:p>
      <w:pPr>
        <w:spacing w:before="30" w:after="40" w:line="252" w:lineRule="auto"/>
        <w:ind w:left="100"/>
        <w:shd w:val="clear" w:color="auto" w:fill="EDF7EE"/>
        <w:pBdr>
          <w:left w:val="single" w:sz="12" w:space="4" w:color="2E7D32"/>
        </w:pBdr>
      </w:pPr>
      <w:r>
        <w:rPr>
          <w:b/>
          <w:i w:val="0"/>
          <w:color w:val="1B5E20"/>
          <w:sz w:val="15"/>
        </w:rPr>
        <w:t>Formulasi Matematis (Konsentrasi Smelter &amp; Beban Limbah B3 Tailing):</w:t>
        <w:br/>
      </w:r>
      <w:r>
        <w:rPr>
          <w:rFonts w:ascii="Consolas" w:hAnsi="Consolas"/>
          <w:b w:val="0"/>
          <w:i w:val="0"/>
          <w:color w:val="104010"/>
          <w:sz w:val="14"/>
        </w:rPr>
        <w:t>S_p = Σ s_i  |  IKĀ_{p,t} = ( 1 / n_{p,t} ) * Σ IKA_{j,p,t}</w:t>
        <w:br/>
        <w:t>χ² = Σ [ ( O_ij - E_ij )² / E_ij ]  |  Odds_Ratio (OR) = ( a * d ) / ( b * c )</w:t>
        <w:br/>
      </w:r>
      <w:r>
        <w:rPr>
          <w:b/>
          <w:i w:val="0"/>
          <w:color w:val="1B5E20"/>
          <w:sz w:val="15"/>
        </w:rPr>
        <w:t>Persamaan Substitusi:</w:t>
        <w:br/>
      </w:r>
      <w:r>
        <w:rPr>
          <w:rFonts w:ascii="Consolas" w:hAnsi="Consolas"/>
          <w:b w:val="0"/>
          <w:i w:val="0"/>
          <w:color w:val="222222"/>
          <w:sz w:val="14"/>
        </w:rPr>
        <w:t>Smelter_Sulteng_Sultra = 344 unit + 262 unit = 606 unit (77,89% total se-Sulawesi)</w:t>
        <w:br/>
        <w:t>Estimasi_Limbah_B3_Tailing = 12.000.000 Ton/Thn (Sulteng) + 7.700.000 Ton/Thn (Sultra) = 19.700.000 Ton/Thn (94,26% total limbah B3)</w:t>
      </w:r>
      <w:r>
        <w:rPr>
          <w:b w:val="0"/>
          <w:i/>
          <w:color w:val="555555"/>
          <w:sz w:val="14"/>
        </w:rPr>
        <w:br/>
        <w:t>Ket: Hasil uji Chi-Square dan Odds Ratio data panel disajikan pada Tabel 2.4. Kegagalan signifikansi statistik membuktikan Aggregate Dilution Bias (pencemaran fatal sungai industri Bahodopi &amp; Lasolo terencerkan oleh stasiun pemantau sungai non-industri).</w:t>
      </w:r>
    </w:p>
    <w:p>
      <w:pPr>
        <w:spacing w:before="70" w:after="20"/>
        <w:pBdr>
          <w:bottom w:val="single" w:sz="4" w:space="1" w:color="2E7D32"/>
        </w:pBdr>
      </w:pPr>
      <w:r>
        <w:rPr>
          <w:b/>
          <w:i w:val="0"/>
          <w:color w:val="1B5E20"/>
          <w:sz w:val="18"/>
        </w:rPr>
        <w:t>2.2. Kepungan Asap: Kapasitas PLTU vs Indeks Kualitas Udara (IKU)</w:t>
      </w:r>
    </w:p>
    <w:p>
      <w:pPr>
        <w:spacing w:before="0" w:after="40" w:line="252" w:lineRule="auto"/>
        <w:jc w:val="both"/>
      </w:pPr>
      <w:r>
        <w:rPr>
          <w:b w:val="0"/>
          <w:i w:val="0"/>
          <w:color w:val="222222"/>
          <w:sz w:val="17"/>
        </w:rPr>
        <w:t xml:space="preserve">Sebanyak </w:t>
      </w:r>
      <w:r>
        <w:rPr>
          <w:b/>
          <w:i w:val="0"/>
          <w:color w:val="222222"/>
          <w:sz w:val="17"/>
        </w:rPr>
        <w:t>9.825 MW PLTU Captive batu bara off-grid</w:t>
      </w:r>
      <w:r>
        <w:rPr>
          <w:b w:val="0"/>
          <w:i w:val="0"/>
          <w:color w:val="222222"/>
          <w:sz w:val="17"/>
        </w:rPr>
        <w:t xml:space="preserve"> beroperasi di kawasan hilirisasi nikel menyumbang polusi udara ambien dan gas buang NO₂.</w:t>
      </w:r>
    </w:p>
    <w:p>
      <w:pPr>
        <w:spacing w:before="20" w:after="40" w:line="252" w:lineRule="auto"/>
        <w:ind w:left="100"/>
        <w:pBdr>
          <w:left w:val="single" w:sz="10" w:space="4" w:color="2E7D32"/>
        </w:pBdr>
        <w:shd w:val="clear" w:color="auto" w:fill="F1F8E9"/>
      </w:pPr>
      <w:r>
        <w:rPr>
          <w:b/>
          <w:i w:val="0"/>
          <w:color w:val="1B5E20"/>
          <w:sz w:val="15"/>
        </w:rPr>
        <w:t xml:space="preserve">Sumber Data: </w:t>
      </w:r>
      <w:r>
        <w:rPr>
          <w:b w:val="0"/>
          <w:i/>
          <w:color w:val="333333"/>
          <w:sz w:val="15"/>
        </w:rPr>
        <w:t>Data PLTU: sulawesi_pltu_captive.csv; Data IKU: sulawesi_iku_2015_2024.csv; Pantauan Emisi: Satelit NASA TROPOMI (NO2).</w:t>
      </w:r>
    </w:p>
    <w:p>
      <w:pPr>
        <w:spacing w:before="40" w:after="20"/>
      </w:pPr>
      <w:r>
        <w:rPr>
          <w:b/>
          <w:i/>
          <w:color w:val="2E7D32"/>
          <w:sz w:val="15"/>
        </w:rPr>
        <w:t>Tabel 2.2: Rincian Empiris Kapasitas PLTU (Captive &amp; Grid), IKU, dan Konsentrasi NO₂ NASA (2024)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  <w:gridCol w:w="1813"/>
      </w:tblGrid>
      <w:tr>
        <w:tc>
          <w:tcPr>
            <w:tcW w:type="dxa" w:w="2154"/>
            <w:shd w:val="clear" w:color="auto" w:fill="2E7D32"/>
            <w:tcMar>
              <w:top w:w="18" w:type="dxa"/>
              <w:bottom w:w="18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8" w:color="1B5E20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/>
                <w:i w:val="0"/>
                <w:color w:val="FFFFFF"/>
                <w:sz w:val="15"/>
              </w:rPr>
              <w:t>Provinsi</w:t>
            </w:r>
          </w:p>
        </w:tc>
        <w:tc>
          <w:tcPr>
            <w:tcW w:type="dxa" w:w="1814"/>
            <w:shd w:val="clear" w:color="auto" w:fill="2E7D32"/>
            <w:tcMar>
              <w:top w:w="18" w:type="dxa"/>
              <w:bottom w:w="18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8" w:color="1B5E20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/>
                <w:i w:val="0"/>
                <w:color w:val="FFFFFF"/>
                <w:sz w:val="15"/>
              </w:rPr>
              <w:t>Kapasitas PLTU Captive (MW)</w:t>
            </w:r>
          </w:p>
        </w:tc>
        <w:tc>
          <w:tcPr>
            <w:tcW w:type="dxa" w:w="1474"/>
            <w:shd w:val="clear" w:color="auto" w:fill="2E7D32"/>
            <w:tcMar>
              <w:top w:w="18" w:type="dxa"/>
              <w:bottom w:w="18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8" w:color="1B5E20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/>
                <w:i w:val="0"/>
                <w:color w:val="FFFFFF"/>
                <w:sz w:val="15"/>
              </w:rPr>
              <w:t>PLTU Grid PLN (MW)</w:t>
            </w:r>
          </w:p>
        </w:tc>
        <w:tc>
          <w:tcPr>
            <w:tcW w:type="dxa" w:w="1474"/>
            <w:shd w:val="clear" w:color="auto" w:fill="2E7D32"/>
            <w:tcMar>
              <w:top w:w="18" w:type="dxa"/>
              <w:bottom w:w="18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8" w:color="1B5E20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/>
                <w:i w:val="0"/>
                <w:color w:val="FFFFFF"/>
                <w:sz w:val="15"/>
              </w:rPr>
              <w:t>Total Daya (MW)</w:t>
            </w:r>
          </w:p>
        </w:tc>
        <w:tc>
          <w:tcPr>
            <w:tcW w:type="dxa" w:w="1247"/>
            <w:shd w:val="clear" w:color="auto" w:fill="2E7D32"/>
            <w:tcMar>
              <w:top w:w="18" w:type="dxa"/>
              <w:bottom w:w="18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8" w:color="1B5E20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i w:val="0"/>
                <w:color w:val="FFFFFF"/>
                <w:sz w:val="15"/>
              </w:rPr>
              <w:t>Skor IKU</w:t>
            </w:r>
          </w:p>
        </w:tc>
        <w:tc>
          <w:tcPr>
            <w:tcW w:type="dxa" w:w="2381"/>
            <w:shd w:val="clear" w:color="auto" w:fill="2E7D32"/>
            <w:tcMar>
              <w:top w:w="18" w:type="dxa"/>
              <w:bottom w:w="18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8" w:color="1B5E20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i w:val="0"/>
                <w:color w:val="FFFFFF"/>
                <w:sz w:val="15"/>
              </w:rPr>
              <w:t>NASA TROPOMI NO₂ (mol/m²)</w:t>
            </w:r>
          </w:p>
        </w:tc>
      </w:tr>
      <w:tr>
        <w:tc>
          <w:tcPr>
            <w:tcW w:type="dxa" w:w="2154"/>
            <w:shd w:val="clear" w:color="auto" w:fill="FFFFFF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/>
                <w:i w:val="0"/>
                <w:color w:val="222222"/>
                <w:sz w:val="14"/>
              </w:rPr>
              <w:t>Sulawesi Tengah</w:t>
            </w:r>
          </w:p>
        </w:tc>
        <w:tc>
          <w:tcPr>
            <w:tcW w:type="dxa" w:w="1814"/>
            <w:shd w:val="clear" w:color="auto" w:fill="FFFFFF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b w:val="0"/>
                <w:i w:val="0"/>
                <w:color w:val="222222"/>
                <w:sz w:val="14"/>
              </w:rPr>
              <w:t>9,365</w:t>
            </w:r>
          </w:p>
        </w:tc>
        <w:tc>
          <w:tcPr>
            <w:tcW w:type="dxa" w:w="1474"/>
            <w:shd w:val="clear" w:color="auto" w:fill="FFFFFF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b w:val="0"/>
                <w:i w:val="0"/>
                <w:color w:val="222222"/>
                <w:sz w:val="14"/>
              </w:rPr>
              <w:t>0</w:t>
            </w:r>
          </w:p>
        </w:tc>
        <w:tc>
          <w:tcPr>
            <w:tcW w:type="dxa" w:w="1474"/>
            <w:shd w:val="clear" w:color="auto" w:fill="FFFFFF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b w:val="0"/>
                <w:i w:val="0"/>
                <w:color w:val="222222"/>
                <w:sz w:val="14"/>
              </w:rPr>
              <w:t>9,365</w:t>
            </w:r>
          </w:p>
        </w:tc>
        <w:tc>
          <w:tcPr>
            <w:tcW w:type="dxa" w:w="1247"/>
            <w:shd w:val="clear" w:color="auto" w:fill="FFFFFF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color w:val="222222"/>
                <w:sz w:val="14"/>
              </w:rPr>
              <w:t>92.9</w:t>
            </w:r>
          </w:p>
        </w:tc>
        <w:tc>
          <w:tcPr>
            <w:tcW w:type="dxa" w:w="2381"/>
            <w:shd w:val="clear" w:color="auto" w:fill="FFFFFF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color w:val="222222"/>
                <w:sz w:val="14"/>
              </w:rPr>
              <w:t>6.50e-06</w:t>
            </w:r>
          </w:p>
        </w:tc>
      </w:tr>
      <w:tr>
        <w:tc>
          <w:tcPr>
            <w:tcW w:type="dxa" w:w="2154"/>
            <w:shd w:val="clear" w:color="auto" w:fill="F9FBF9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/>
                <w:i w:val="0"/>
                <w:color w:val="222222"/>
                <w:sz w:val="14"/>
              </w:rPr>
              <w:t>Sulawesi Tenggara</w:t>
            </w:r>
          </w:p>
        </w:tc>
        <w:tc>
          <w:tcPr>
            <w:tcW w:type="dxa" w:w="1814"/>
            <w:shd w:val="clear" w:color="auto" w:fill="F9FBF9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b w:val="0"/>
                <w:i w:val="0"/>
                <w:color w:val="222222"/>
                <w:sz w:val="14"/>
              </w:rPr>
              <w:t>2,280</w:t>
            </w:r>
          </w:p>
        </w:tc>
        <w:tc>
          <w:tcPr>
            <w:tcW w:type="dxa" w:w="1474"/>
            <w:shd w:val="clear" w:color="auto" w:fill="F9FBF9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b w:val="0"/>
                <w:i w:val="0"/>
                <w:color w:val="222222"/>
                <w:sz w:val="14"/>
              </w:rPr>
              <w:t>100</w:t>
            </w:r>
          </w:p>
        </w:tc>
        <w:tc>
          <w:tcPr>
            <w:tcW w:type="dxa" w:w="1474"/>
            <w:shd w:val="clear" w:color="auto" w:fill="F9FBF9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b w:val="0"/>
                <w:i w:val="0"/>
                <w:color w:val="222222"/>
                <w:sz w:val="14"/>
              </w:rPr>
              <w:t>2,380</w:t>
            </w:r>
          </w:p>
        </w:tc>
        <w:tc>
          <w:tcPr>
            <w:tcW w:type="dxa" w:w="1247"/>
            <w:shd w:val="clear" w:color="auto" w:fill="F9FBF9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color w:val="222222"/>
                <w:sz w:val="14"/>
              </w:rPr>
              <w:t>93.0</w:t>
            </w:r>
          </w:p>
        </w:tc>
        <w:tc>
          <w:tcPr>
            <w:tcW w:type="dxa" w:w="2381"/>
            <w:shd w:val="clear" w:color="auto" w:fill="F9FBF9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color w:val="222222"/>
                <w:sz w:val="14"/>
              </w:rPr>
              <w:t>6.62e-06</w:t>
            </w:r>
          </w:p>
        </w:tc>
      </w:tr>
      <w:tr>
        <w:tc>
          <w:tcPr>
            <w:tcW w:type="dxa" w:w="2154"/>
            <w:shd w:val="clear" w:color="auto" w:fill="FFFFFF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/>
                <w:i w:val="0"/>
                <w:color w:val="222222"/>
                <w:sz w:val="14"/>
              </w:rPr>
              <w:t>Sulawesi Selatan</w:t>
            </w:r>
          </w:p>
        </w:tc>
        <w:tc>
          <w:tcPr>
            <w:tcW w:type="dxa" w:w="1814"/>
            <w:shd w:val="clear" w:color="auto" w:fill="FFFFFF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b w:val="0"/>
                <w:i w:val="0"/>
                <w:color w:val="222222"/>
                <w:sz w:val="14"/>
              </w:rPr>
              <w:t>600</w:t>
            </w:r>
          </w:p>
        </w:tc>
        <w:tc>
          <w:tcPr>
            <w:tcW w:type="dxa" w:w="1474"/>
            <w:shd w:val="clear" w:color="auto" w:fill="FFFFFF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b w:val="0"/>
                <w:i w:val="0"/>
                <w:color w:val="222222"/>
                <w:sz w:val="14"/>
              </w:rPr>
              <w:t>920</w:t>
            </w:r>
          </w:p>
        </w:tc>
        <w:tc>
          <w:tcPr>
            <w:tcW w:type="dxa" w:w="1474"/>
            <w:shd w:val="clear" w:color="auto" w:fill="FFFFFF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b w:val="0"/>
                <w:i w:val="0"/>
                <w:color w:val="222222"/>
                <w:sz w:val="14"/>
              </w:rPr>
              <w:t>1,520</w:t>
            </w:r>
          </w:p>
        </w:tc>
        <w:tc>
          <w:tcPr>
            <w:tcW w:type="dxa" w:w="1247"/>
            <w:shd w:val="clear" w:color="auto" w:fill="FFFFFF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color w:val="222222"/>
                <w:sz w:val="14"/>
              </w:rPr>
              <w:t>91.5</w:t>
            </w:r>
          </w:p>
        </w:tc>
        <w:tc>
          <w:tcPr>
            <w:tcW w:type="dxa" w:w="2381"/>
            <w:shd w:val="clear" w:color="auto" w:fill="FFFFFF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color w:val="222222"/>
                <w:sz w:val="14"/>
              </w:rPr>
              <w:t>6.40e-06</w:t>
            </w:r>
          </w:p>
        </w:tc>
      </w:tr>
      <w:tr>
        <w:tc>
          <w:tcPr>
            <w:tcW w:type="dxa" w:w="2154"/>
            <w:shd w:val="clear" w:color="auto" w:fill="F9FBF9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/>
                <w:i w:val="0"/>
                <w:color w:val="222222"/>
                <w:sz w:val="14"/>
              </w:rPr>
              <w:t>Sulawesi Utara</w:t>
            </w:r>
          </w:p>
        </w:tc>
        <w:tc>
          <w:tcPr>
            <w:tcW w:type="dxa" w:w="1814"/>
            <w:shd w:val="clear" w:color="auto" w:fill="F9FBF9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b w:val="0"/>
                <w:i w:val="0"/>
                <w:color w:val="222222"/>
                <w:sz w:val="14"/>
              </w:rPr>
              <w:t>0</w:t>
            </w:r>
          </w:p>
        </w:tc>
        <w:tc>
          <w:tcPr>
            <w:tcW w:type="dxa" w:w="1474"/>
            <w:shd w:val="clear" w:color="auto" w:fill="F9FBF9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b w:val="0"/>
                <w:i w:val="0"/>
                <w:color w:val="222222"/>
                <w:sz w:val="14"/>
              </w:rPr>
              <w:t>220</w:t>
            </w:r>
          </w:p>
        </w:tc>
        <w:tc>
          <w:tcPr>
            <w:tcW w:type="dxa" w:w="1474"/>
            <w:shd w:val="clear" w:color="auto" w:fill="F9FBF9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b w:val="0"/>
                <w:i w:val="0"/>
                <w:color w:val="222222"/>
                <w:sz w:val="14"/>
              </w:rPr>
              <w:t>220</w:t>
            </w:r>
          </w:p>
        </w:tc>
        <w:tc>
          <w:tcPr>
            <w:tcW w:type="dxa" w:w="1247"/>
            <w:shd w:val="clear" w:color="auto" w:fill="F9FBF9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color w:val="222222"/>
                <w:sz w:val="14"/>
              </w:rPr>
              <w:t>93.4</w:t>
            </w:r>
          </w:p>
        </w:tc>
        <w:tc>
          <w:tcPr>
            <w:tcW w:type="dxa" w:w="2381"/>
            <w:shd w:val="clear" w:color="auto" w:fill="F9FBF9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color w:val="222222"/>
                <w:sz w:val="14"/>
              </w:rPr>
              <w:t>4.09e-06</w:t>
            </w:r>
          </w:p>
        </w:tc>
      </w:tr>
      <w:tr>
        <w:tc>
          <w:tcPr>
            <w:tcW w:type="dxa" w:w="2154"/>
            <w:shd w:val="clear" w:color="auto" w:fill="FFFFFF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/>
                <w:i w:val="0"/>
                <w:color w:val="222222"/>
                <w:sz w:val="14"/>
              </w:rPr>
              <w:t>Gorontalo</w:t>
            </w:r>
          </w:p>
        </w:tc>
        <w:tc>
          <w:tcPr>
            <w:tcW w:type="dxa" w:w="1814"/>
            <w:shd w:val="clear" w:color="auto" w:fill="FFFFFF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b w:val="0"/>
                <w:i w:val="0"/>
                <w:color w:val="222222"/>
                <w:sz w:val="14"/>
              </w:rPr>
              <w:t>0</w:t>
            </w:r>
          </w:p>
        </w:tc>
        <w:tc>
          <w:tcPr>
            <w:tcW w:type="dxa" w:w="1474"/>
            <w:shd w:val="clear" w:color="auto" w:fill="FFFFFF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b w:val="0"/>
                <w:i w:val="0"/>
                <w:color w:val="222222"/>
                <w:sz w:val="14"/>
              </w:rPr>
              <w:t>100</w:t>
            </w:r>
          </w:p>
        </w:tc>
        <w:tc>
          <w:tcPr>
            <w:tcW w:type="dxa" w:w="1474"/>
            <w:shd w:val="clear" w:color="auto" w:fill="FFFFFF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b w:val="0"/>
                <w:i w:val="0"/>
                <w:color w:val="222222"/>
                <w:sz w:val="14"/>
              </w:rPr>
              <w:t>100</w:t>
            </w:r>
          </w:p>
        </w:tc>
        <w:tc>
          <w:tcPr>
            <w:tcW w:type="dxa" w:w="1247"/>
            <w:shd w:val="clear" w:color="auto" w:fill="FFFFFF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color w:val="222222"/>
                <w:sz w:val="14"/>
              </w:rPr>
              <w:t>93.5</w:t>
            </w:r>
          </w:p>
        </w:tc>
        <w:tc>
          <w:tcPr>
            <w:tcW w:type="dxa" w:w="2381"/>
            <w:shd w:val="clear" w:color="auto" w:fill="FFFFFF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color w:val="222222"/>
                <w:sz w:val="14"/>
              </w:rPr>
              <w:t>3.76e-06</w:t>
            </w:r>
          </w:p>
        </w:tc>
      </w:tr>
      <w:tr>
        <w:tc>
          <w:tcPr>
            <w:tcW w:type="dxa" w:w="2154"/>
            <w:shd w:val="clear" w:color="auto" w:fill="F9FBF9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/>
                <w:i w:val="0"/>
                <w:color w:val="222222"/>
                <w:sz w:val="14"/>
              </w:rPr>
              <w:t>Sulawesi Barat</w:t>
            </w:r>
          </w:p>
        </w:tc>
        <w:tc>
          <w:tcPr>
            <w:tcW w:type="dxa" w:w="1814"/>
            <w:shd w:val="clear" w:color="auto" w:fill="F9FBF9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b w:val="0"/>
                <w:i w:val="0"/>
                <w:color w:val="222222"/>
                <w:sz w:val="14"/>
              </w:rPr>
              <w:t>0</w:t>
            </w:r>
          </w:p>
        </w:tc>
        <w:tc>
          <w:tcPr>
            <w:tcW w:type="dxa" w:w="1474"/>
            <w:shd w:val="clear" w:color="auto" w:fill="F9FBF9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b w:val="0"/>
                <w:i w:val="0"/>
                <w:color w:val="222222"/>
                <w:sz w:val="14"/>
              </w:rPr>
              <w:t>0</w:t>
            </w:r>
          </w:p>
        </w:tc>
        <w:tc>
          <w:tcPr>
            <w:tcW w:type="dxa" w:w="1474"/>
            <w:shd w:val="clear" w:color="auto" w:fill="F9FBF9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b w:val="0"/>
                <w:i w:val="0"/>
                <w:color w:val="222222"/>
                <w:sz w:val="14"/>
              </w:rPr>
              <w:t>0</w:t>
            </w:r>
          </w:p>
        </w:tc>
        <w:tc>
          <w:tcPr>
            <w:tcW w:type="dxa" w:w="1247"/>
            <w:shd w:val="clear" w:color="auto" w:fill="F9FBF9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color w:val="222222"/>
                <w:sz w:val="14"/>
              </w:rPr>
              <w:t>92.5</w:t>
            </w:r>
          </w:p>
        </w:tc>
        <w:tc>
          <w:tcPr>
            <w:tcW w:type="dxa" w:w="2381"/>
            <w:shd w:val="clear" w:color="auto" w:fill="F9FBF9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color w:val="222222"/>
                <w:sz w:val="14"/>
              </w:rPr>
              <w:t>6.00e-06</w:t>
            </w:r>
          </w:p>
        </w:tc>
      </w:tr>
    </w:tbl>
    <w:p>
      <w:pPr>
        <w:spacing w:before="30" w:after="40" w:line="252" w:lineRule="auto"/>
        <w:ind w:left="100"/>
        <w:shd w:val="clear" w:color="auto" w:fill="EDF7EE"/>
        <w:pBdr>
          <w:left w:val="single" w:sz="12" w:space="4" w:color="2E7D32"/>
        </w:pBdr>
      </w:pPr>
      <w:r>
        <w:rPr>
          <w:b/>
          <w:i w:val="0"/>
          <w:color w:val="1B5E20"/>
          <w:sz w:val="15"/>
        </w:rPr>
        <w:t>Formulasi Matematis (Kapasitas Energi PLTU &amp; Parameter Kualitas Udara):</w:t>
        <w:br/>
      </w:r>
      <w:r>
        <w:rPr>
          <w:rFonts w:ascii="Consolas" w:hAnsi="Consolas"/>
          <w:b w:val="0"/>
          <w:i w:val="0"/>
          <w:color w:val="104010"/>
          <w:sz w:val="14"/>
        </w:rPr>
        <w:t>Kapasitas_PLTU_Provinsi = Σ Kapasitas_i  |  Rata_Rata_IKU = MEAN( IKU_Provinsi, Tahun )</w:t>
        <w:br/>
        <w:t>χ² = Σ [ ( O - E )² / E ]  |  Odds_Ratio (OR) = ( a * d ) / ( b * c )</w:t>
        <w:br/>
      </w:r>
      <w:r>
        <w:rPr>
          <w:b/>
          <w:i w:val="0"/>
          <w:color w:val="1B5E20"/>
          <w:sz w:val="15"/>
        </w:rPr>
        <w:t>Persamaan Substitusi:</w:t>
        <w:br/>
      </w:r>
      <w:r>
        <w:rPr>
          <w:rFonts w:ascii="Consolas" w:hAnsi="Consolas"/>
          <w:b w:val="0"/>
          <w:i w:val="0"/>
          <w:color w:val="222222"/>
          <w:sz w:val="14"/>
        </w:rPr>
        <w:t>Total_PLTU_Captive = 9.365 MW (Sulteng) + 2.280 MW (Sultra) + 600 MW (Sulsel) = 12.245 MW terpasang</w:t>
      </w:r>
      <w:r>
        <w:rPr>
          <w:b w:val="0"/>
          <w:i/>
          <w:color w:val="555555"/>
          <w:sz w:val="14"/>
        </w:rPr>
        <w:br/>
        <w:t>Ket: Hasil pengujian statistik tabulasi silang dirinci pada Tabel 2.4. Ketidaksignifikanan membuktikan Efek Pengenceran Udara Ambien karena sensor IKU tersebar merata di hutan berudara bersih.</w:t>
      </w:r>
    </w:p>
    <w:p>
      <w:pPr>
        <w:spacing w:before="70" w:after="20"/>
        <w:pBdr>
          <w:bottom w:val="single" w:sz="4" w:space="1" w:color="2E7D32"/>
        </w:pBdr>
      </w:pPr>
      <w:r>
        <w:rPr>
          <w:b/>
          <w:i w:val="0"/>
          <w:color w:val="1B5E20"/>
          <w:sz w:val="18"/>
        </w:rPr>
        <w:t>2.3. Eksekusi Ruang: Ekspansi Kawasan Industri vs Tekanan Ekologis (Deforestasi)</w:t>
      </w:r>
    </w:p>
    <w:p>
      <w:pPr>
        <w:spacing w:before="0" w:after="40" w:line="252" w:lineRule="auto"/>
        <w:jc w:val="both"/>
      </w:pPr>
      <w:r>
        <w:rPr>
          <w:b w:val="0"/>
          <w:i w:val="0"/>
          <w:color w:val="222222"/>
          <w:sz w:val="17"/>
        </w:rPr>
        <w:t xml:space="preserve">Alokasi konsesi IUP dan Kawasan Industri mencakup </w:t>
      </w:r>
      <w:r>
        <w:rPr>
          <w:b/>
          <w:i w:val="0"/>
          <w:color w:val="222222"/>
          <w:sz w:val="17"/>
        </w:rPr>
        <w:t>1.185.174 Hektar</w:t>
      </w:r>
      <w:r>
        <w:rPr>
          <w:b w:val="0"/>
          <w:i w:val="0"/>
          <w:color w:val="222222"/>
          <w:sz w:val="17"/>
        </w:rPr>
        <w:t xml:space="preserve"> di Sulawesi. Sepanjang dekade 2014–2023, data Global Forest Watch (GFW) merekam akumulasi kehilangan tutupan pohon sebesar </w:t>
      </w:r>
      <w:r>
        <w:rPr>
          <w:b/>
          <w:i w:val="0"/>
          <w:color w:val="222222"/>
          <w:sz w:val="17"/>
        </w:rPr>
        <w:t>1.386.055 Hektar</w:t>
      </w:r>
      <w:r>
        <w:rPr>
          <w:b w:val="0"/>
          <w:i w:val="0"/>
          <w:color w:val="222222"/>
          <w:sz w:val="17"/>
        </w:rPr>
        <w:t xml:space="preserve"> (terbesar di Sulawesi Tengah dan Tenggara).</w:t>
      </w:r>
    </w:p>
    <w:p>
      <w:pPr>
        <w:spacing w:before="40" w:after="20"/>
      </w:pPr>
      <w:r>
        <w:rPr>
          <w:b/>
          <w:i/>
          <w:color w:val="2E7D32"/>
          <w:sz w:val="15"/>
        </w:rPr>
        <w:t>Tabel 2.3: Rincian Empiris Luas Konsesi IUP-Kawasan Industri dan Deforestasi Kumulatif (2014–2023)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0"/>
        <w:gridCol w:w="2720"/>
        <w:gridCol w:w="2720"/>
        <w:gridCol w:w="2720"/>
      </w:tblGrid>
      <w:tr>
        <w:tc>
          <w:tcPr>
            <w:tcW w:type="dxa" w:w="2381"/>
            <w:shd w:val="clear" w:color="auto" w:fill="2E7D32"/>
            <w:tcMar>
              <w:top w:w="18" w:type="dxa"/>
              <w:bottom w:w="18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8" w:color="1B5E20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/>
                <w:i w:val="0"/>
                <w:color w:val="FFFFFF"/>
                <w:sz w:val="15"/>
              </w:rPr>
              <w:t>Provinsi</w:t>
            </w:r>
          </w:p>
        </w:tc>
        <w:tc>
          <w:tcPr>
            <w:tcW w:type="dxa" w:w="2608"/>
            <w:shd w:val="clear" w:color="auto" w:fill="2E7D32"/>
            <w:tcMar>
              <w:top w:w="18" w:type="dxa"/>
              <w:bottom w:w="18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8" w:color="1B5E20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/>
                <w:i w:val="0"/>
                <w:color w:val="FFFFFF"/>
                <w:sz w:val="15"/>
              </w:rPr>
              <w:t>Luas IUP &amp; Kawasan (Ha)</w:t>
            </w:r>
          </w:p>
        </w:tc>
        <w:tc>
          <w:tcPr>
            <w:tcW w:type="dxa" w:w="2608"/>
            <w:shd w:val="clear" w:color="auto" w:fill="2E7D32"/>
            <w:tcMar>
              <w:top w:w="18" w:type="dxa"/>
              <w:bottom w:w="18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8" w:color="1B5E20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/>
                <w:i w:val="0"/>
                <w:color w:val="FFFFFF"/>
                <w:sz w:val="15"/>
              </w:rPr>
              <w:t>Konsesi Baru Kumulatif (Ha)</w:t>
            </w:r>
          </w:p>
        </w:tc>
        <w:tc>
          <w:tcPr>
            <w:tcW w:type="dxa" w:w="2948"/>
            <w:shd w:val="clear" w:color="auto" w:fill="2E7D32"/>
            <w:tcMar>
              <w:top w:w="18" w:type="dxa"/>
              <w:bottom w:w="18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8" w:color="1B5E20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/>
                <w:i w:val="0"/>
                <w:color w:val="FFFFFF"/>
                <w:sz w:val="15"/>
              </w:rPr>
              <w:t>Deforestasi Kumulatif 1 Dekade (Ha)</w:t>
            </w:r>
          </w:p>
        </w:tc>
      </w:tr>
      <w:tr>
        <w:tc>
          <w:tcPr>
            <w:tcW w:type="dxa" w:w="2381"/>
            <w:shd w:val="clear" w:color="auto" w:fill="FFFFFF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/>
                <w:i w:val="0"/>
                <w:color w:val="222222"/>
                <w:sz w:val="14"/>
              </w:rPr>
              <w:t>Sulawesi Tengah</w:t>
            </w:r>
          </w:p>
        </w:tc>
        <w:tc>
          <w:tcPr>
            <w:tcW w:type="dxa" w:w="2608"/>
            <w:shd w:val="clear" w:color="auto" w:fill="FFFFFF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b w:val="0"/>
                <w:i w:val="0"/>
                <w:color w:val="222222"/>
                <w:sz w:val="14"/>
              </w:rPr>
              <w:t>453,216</w:t>
            </w:r>
          </w:p>
        </w:tc>
        <w:tc>
          <w:tcPr>
            <w:tcW w:type="dxa" w:w="2608"/>
            <w:shd w:val="clear" w:color="auto" w:fill="FFFFFF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b w:val="0"/>
                <w:i w:val="0"/>
                <w:color w:val="222222"/>
                <w:sz w:val="14"/>
              </w:rPr>
              <w:t>387,124</w:t>
            </w:r>
          </w:p>
        </w:tc>
        <w:tc>
          <w:tcPr>
            <w:tcW w:type="dxa" w:w="2948"/>
            <w:shd w:val="clear" w:color="auto" w:fill="FFFFFF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b w:val="0"/>
                <w:i w:val="0"/>
                <w:color w:val="222222"/>
                <w:sz w:val="14"/>
              </w:rPr>
              <w:t>481,908</w:t>
            </w:r>
          </w:p>
        </w:tc>
      </w:tr>
      <w:tr>
        <w:tc>
          <w:tcPr>
            <w:tcW w:type="dxa" w:w="2381"/>
            <w:shd w:val="clear" w:color="auto" w:fill="F9FBF9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/>
                <w:i w:val="0"/>
                <w:color w:val="222222"/>
                <w:sz w:val="14"/>
              </w:rPr>
              <w:t>Sulawesi Tenggara</w:t>
            </w:r>
          </w:p>
        </w:tc>
        <w:tc>
          <w:tcPr>
            <w:tcW w:type="dxa" w:w="2608"/>
            <w:shd w:val="clear" w:color="auto" w:fill="F9FBF9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b w:val="0"/>
                <w:i w:val="0"/>
                <w:color w:val="222222"/>
                <w:sz w:val="14"/>
              </w:rPr>
              <w:t>446,025</w:t>
            </w:r>
          </w:p>
        </w:tc>
        <w:tc>
          <w:tcPr>
            <w:tcW w:type="dxa" w:w="2608"/>
            <w:shd w:val="clear" w:color="auto" w:fill="F9FBF9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b w:val="0"/>
                <w:i w:val="0"/>
                <w:color w:val="222222"/>
                <w:sz w:val="14"/>
              </w:rPr>
              <w:t>212,717</w:t>
            </w:r>
          </w:p>
        </w:tc>
        <w:tc>
          <w:tcPr>
            <w:tcW w:type="dxa" w:w="2948"/>
            <w:shd w:val="clear" w:color="auto" w:fill="F9FBF9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b w:val="0"/>
                <w:i w:val="0"/>
                <w:color w:val="222222"/>
                <w:sz w:val="14"/>
              </w:rPr>
              <w:t>337,434</w:t>
            </w:r>
          </w:p>
        </w:tc>
      </w:tr>
      <w:tr>
        <w:tc>
          <w:tcPr>
            <w:tcW w:type="dxa" w:w="2381"/>
            <w:shd w:val="clear" w:color="auto" w:fill="FFFFFF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/>
                <w:i w:val="0"/>
                <w:color w:val="222222"/>
                <w:sz w:val="14"/>
              </w:rPr>
              <w:t>Sulawesi Selatan</w:t>
            </w:r>
          </w:p>
        </w:tc>
        <w:tc>
          <w:tcPr>
            <w:tcW w:type="dxa" w:w="2608"/>
            <w:shd w:val="clear" w:color="auto" w:fill="FFFFFF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b w:val="0"/>
                <w:i w:val="0"/>
                <w:color w:val="222222"/>
                <w:sz w:val="14"/>
              </w:rPr>
              <w:t>181,469</w:t>
            </w:r>
          </w:p>
        </w:tc>
        <w:tc>
          <w:tcPr>
            <w:tcW w:type="dxa" w:w="2608"/>
            <w:shd w:val="clear" w:color="auto" w:fill="FFFFFF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b w:val="0"/>
                <w:i w:val="0"/>
                <w:color w:val="222222"/>
                <w:sz w:val="14"/>
              </w:rPr>
              <w:t>123,065</w:t>
            </w:r>
          </w:p>
        </w:tc>
        <w:tc>
          <w:tcPr>
            <w:tcW w:type="dxa" w:w="2948"/>
            <w:shd w:val="clear" w:color="auto" w:fill="FFFFFF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b w:val="0"/>
                <w:i w:val="0"/>
                <w:color w:val="222222"/>
                <w:sz w:val="14"/>
              </w:rPr>
              <w:t>261,147</w:t>
            </w:r>
          </w:p>
        </w:tc>
      </w:tr>
      <w:tr>
        <w:tc>
          <w:tcPr>
            <w:tcW w:type="dxa" w:w="2381"/>
            <w:shd w:val="clear" w:color="auto" w:fill="F9FBF9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/>
                <w:i w:val="0"/>
                <w:color w:val="222222"/>
                <w:sz w:val="14"/>
              </w:rPr>
              <w:t>Sulawesi Utara</w:t>
            </w:r>
          </w:p>
        </w:tc>
        <w:tc>
          <w:tcPr>
            <w:tcW w:type="dxa" w:w="2608"/>
            <w:shd w:val="clear" w:color="auto" w:fill="F9FBF9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b w:val="0"/>
                <w:i w:val="0"/>
                <w:color w:val="222222"/>
                <w:sz w:val="14"/>
              </w:rPr>
              <w:t>94,829</w:t>
            </w:r>
          </w:p>
        </w:tc>
        <w:tc>
          <w:tcPr>
            <w:tcW w:type="dxa" w:w="2608"/>
            <w:shd w:val="clear" w:color="auto" w:fill="F9FBF9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b w:val="0"/>
                <w:i w:val="0"/>
                <w:color w:val="222222"/>
                <w:sz w:val="14"/>
              </w:rPr>
              <w:t>89,170</w:t>
            </w:r>
          </w:p>
        </w:tc>
        <w:tc>
          <w:tcPr>
            <w:tcW w:type="dxa" w:w="2948"/>
            <w:shd w:val="clear" w:color="auto" w:fill="F9FBF9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b w:val="0"/>
                <w:i w:val="0"/>
                <w:color w:val="222222"/>
                <w:sz w:val="14"/>
              </w:rPr>
              <w:t>74,240</w:t>
            </w:r>
          </w:p>
        </w:tc>
      </w:tr>
      <w:tr>
        <w:tc>
          <w:tcPr>
            <w:tcW w:type="dxa" w:w="2381"/>
            <w:shd w:val="clear" w:color="auto" w:fill="FFFFFF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/>
                <w:i w:val="0"/>
                <w:color w:val="222222"/>
                <w:sz w:val="14"/>
              </w:rPr>
              <w:t>Gorontalo</w:t>
            </w:r>
          </w:p>
        </w:tc>
        <w:tc>
          <w:tcPr>
            <w:tcW w:type="dxa" w:w="2608"/>
            <w:shd w:val="clear" w:color="auto" w:fill="FFFFFF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b w:val="0"/>
                <w:i w:val="0"/>
                <w:color w:val="222222"/>
                <w:sz w:val="14"/>
              </w:rPr>
              <w:t>5,212</w:t>
            </w:r>
          </w:p>
        </w:tc>
        <w:tc>
          <w:tcPr>
            <w:tcW w:type="dxa" w:w="2608"/>
            <w:shd w:val="clear" w:color="auto" w:fill="FFFFFF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b w:val="0"/>
                <w:i w:val="0"/>
                <w:color w:val="222222"/>
                <w:sz w:val="14"/>
              </w:rPr>
              <w:t>5,212</w:t>
            </w:r>
          </w:p>
        </w:tc>
        <w:tc>
          <w:tcPr>
            <w:tcW w:type="dxa" w:w="2948"/>
            <w:shd w:val="clear" w:color="auto" w:fill="FFFFFF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b w:val="0"/>
                <w:i w:val="0"/>
                <w:color w:val="222222"/>
                <w:sz w:val="14"/>
              </w:rPr>
              <w:t>98,063</w:t>
            </w:r>
          </w:p>
        </w:tc>
      </w:tr>
      <w:tr>
        <w:tc>
          <w:tcPr>
            <w:tcW w:type="dxa" w:w="2381"/>
            <w:shd w:val="clear" w:color="auto" w:fill="F9FBF9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/>
                <w:i w:val="0"/>
                <w:color w:val="222222"/>
                <w:sz w:val="14"/>
              </w:rPr>
              <w:t>Sulawesi Barat</w:t>
            </w:r>
          </w:p>
        </w:tc>
        <w:tc>
          <w:tcPr>
            <w:tcW w:type="dxa" w:w="2608"/>
            <w:shd w:val="clear" w:color="auto" w:fill="F9FBF9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b w:val="0"/>
                <w:i w:val="0"/>
                <w:color w:val="222222"/>
                <w:sz w:val="14"/>
              </w:rPr>
              <w:t>4,424</w:t>
            </w:r>
          </w:p>
        </w:tc>
        <w:tc>
          <w:tcPr>
            <w:tcW w:type="dxa" w:w="2608"/>
            <w:shd w:val="clear" w:color="auto" w:fill="F9FBF9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b w:val="0"/>
                <w:i w:val="0"/>
                <w:color w:val="222222"/>
                <w:sz w:val="14"/>
              </w:rPr>
              <w:t>2,163</w:t>
            </w:r>
          </w:p>
        </w:tc>
        <w:tc>
          <w:tcPr>
            <w:tcW w:type="dxa" w:w="2948"/>
            <w:shd w:val="clear" w:color="auto" w:fill="F9FBF9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b w:val="0"/>
                <w:i w:val="0"/>
                <w:color w:val="222222"/>
                <w:sz w:val="14"/>
              </w:rPr>
              <w:t>133,263</w:t>
            </w:r>
          </w:p>
        </w:tc>
      </w:tr>
    </w:tbl>
    <w:p>
      <w:pPr>
        <w:spacing w:before="40" w:after="20"/>
      </w:pPr>
      <w:r>
        <w:rPr>
          <w:b/>
          <w:i/>
          <w:color w:val="2E7D32"/>
          <w:sz w:val="15"/>
        </w:rPr>
        <w:t>Tabel 2.4: Ringkasan Hasil Uji Independensi Chi-Square (χ²) dan Odds Ratio (OR) Data Panel Bab 2 (N=54 s.d. 60)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  <w:gridCol w:w="1813"/>
      </w:tblGrid>
      <w:tr>
        <w:tc>
          <w:tcPr>
            <w:tcW w:type="dxa" w:w="2551"/>
            <w:shd w:val="clear" w:color="auto" w:fill="2E7D32"/>
            <w:tcMar>
              <w:top w:w="18" w:type="dxa"/>
              <w:bottom w:w="18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8" w:color="1B5E20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/>
                <w:i w:val="0"/>
                <w:color w:val="FFFFFF"/>
                <w:sz w:val="15"/>
              </w:rPr>
              <w:t>Faktor Tekanan Lingkungan (X)</w:t>
            </w:r>
          </w:p>
        </w:tc>
        <w:tc>
          <w:tcPr>
            <w:tcW w:type="dxa" w:w="2381"/>
            <w:shd w:val="clear" w:color="auto" w:fill="2E7D32"/>
            <w:tcMar>
              <w:top w:w="18" w:type="dxa"/>
              <w:bottom w:w="18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8" w:color="1B5E20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/>
                <w:i w:val="0"/>
                <w:color w:val="FFFFFF"/>
                <w:sz w:val="15"/>
              </w:rPr>
              <w:t>Indikator Dampak (Y)</w:t>
            </w:r>
          </w:p>
        </w:tc>
        <w:tc>
          <w:tcPr>
            <w:tcW w:type="dxa" w:w="1134"/>
            <w:shd w:val="clear" w:color="auto" w:fill="2E7D32"/>
            <w:tcMar>
              <w:top w:w="18" w:type="dxa"/>
              <w:bottom w:w="18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8" w:color="1B5E20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i w:val="0"/>
                <w:color w:val="FFFFFF"/>
                <w:sz w:val="15"/>
              </w:rPr>
              <w:t>Chi-Square (χ²)</w:t>
            </w:r>
          </w:p>
        </w:tc>
        <w:tc>
          <w:tcPr>
            <w:tcW w:type="dxa" w:w="1020"/>
            <w:shd w:val="clear" w:color="auto" w:fill="2E7D32"/>
            <w:tcMar>
              <w:top w:w="18" w:type="dxa"/>
              <w:bottom w:w="18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8" w:color="1B5E20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i w:val="0"/>
                <w:color w:val="FFFFFF"/>
                <w:sz w:val="15"/>
              </w:rPr>
              <w:t>P-Value</w:t>
            </w:r>
          </w:p>
        </w:tc>
        <w:tc>
          <w:tcPr>
            <w:tcW w:type="dxa" w:w="1020"/>
            <w:shd w:val="clear" w:color="auto" w:fill="2E7D32"/>
            <w:tcMar>
              <w:top w:w="18" w:type="dxa"/>
              <w:bottom w:w="18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8" w:color="1B5E20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i w:val="0"/>
                <w:color w:val="FFFFFF"/>
                <w:sz w:val="15"/>
              </w:rPr>
              <w:t>Odds Ratio</w:t>
            </w:r>
          </w:p>
        </w:tc>
        <w:tc>
          <w:tcPr>
            <w:tcW w:type="dxa" w:w="2438"/>
            <w:shd w:val="clear" w:color="auto" w:fill="2E7D32"/>
            <w:tcMar>
              <w:top w:w="18" w:type="dxa"/>
              <w:bottom w:w="18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8" w:color="1B5E20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/>
                <w:i w:val="0"/>
                <w:color w:val="FFFFFF"/>
                <w:sz w:val="15"/>
              </w:rPr>
              <w:t>Kesimpulan Ilmiah</w:t>
            </w:r>
          </w:p>
        </w:tc>
      </w:tr>
      <w:tr>
        <w:tc>
          <w:tcPr>
            <w:tcW w:type="dxa" w:w="2551"/>
            <w:shd w:val="clear" w:color="auto" w:fill="FFFFFF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/>
                <w:i w:val="0"/>
                <w:color w:val="222222"/>
                <w:sz w:val="14"/>
              </w:rPr>
              <w:t>Kepadatan Smelter (Fasilitas)</w:t>
            </w:r>
          </w:p>
        </w:tc>
        <w:tc>
          <w:tcPr>
            <w:tcW w:type="dxa" w:w="2381"/>
            <w:shd w:val="clear" w:color="auto" w:fill="FFFFFF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color w:val="222222"/>
                <w:sz w:val="14"/>
              </w:rPr>
              <w:t>Indeks Kualitas Air (IKA)</w:t>
            </w:r>
          </w:p>
        </w:tc>
        <w:tc>
          <w:tcPr>
            <w:tcW w:type="dxa" w:w="1134"/>
            <w:shd w:val="clear" w:color="auto" w:fill="FFFFFF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color w:val="222222"/>
                <w:sz w:val="14"/>
              </w:rPr>
              <w:t>2.667</w:t>
            </w:r>
          </w:p>
        </w:tc>
        <w:tc>
          <w:tcPr>
            <w:tcW w:type="dxa" w:w="1020"/>
            <w:shd w:val="clear" w:color="auto" w:fill="FFFFFF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color w:val="222222"/>
                <w:sz w:val="14"/>
              </w:rPr>
              <w:t>0.102</w:t>
            </w:r>
          </w:p>
        </w:tc>
        <w:tc>
          <w:tcPr>
            <w:tcW w:type="dxa" w:w="1020"/>
            <w:shd w:val="clear" w:color="auto" w:fill="FFFFFF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color w:val="222222"/>
                <w:sz w:val="14"/>
              </w:rPr>
              <w:t>0.35x</w:t>
            </w:r>
          </w:p>
        </w:tc>
        <w:tc>
          <w:tcPr>
            <w:tcW w:type="dxa" w:w="2438"/>
            <w:shd w:val="clear" w:color="auto" w:fill="FFFFFF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/>
                <w:i w:val="0"/>
                <w:color w:val="222222"/>
                <w:sz w:val="14"/>
              </w:rPr>
              <w:t>TIDAK SIGNIFIKAN (Pengenceran Agregat)</w:t>
            </w:r>
          </w:p>
        </w:tc>
      </w:tr>
      <w:tr>
        <w:tc>
          <w:tcPr>
            <w:tcW w:type="dxa" w:w="2551"/>
            <w:shd w:val="clear" w:color="auto" w:fill="F9FBF9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/>
                <w:i w:val="0"/>
                <w:color w:val="222222"/>
                <w:sz w:val="14"/>
              </w:rPr>
              <w:t>Kapasitas PLTU (MW)</w:t>
            </w:r>
          </w:p>
        </w:tc>
        <w:tc>
          <w:tcPr>
            <w:tcW w:type="dxa" w:w="2381"/>
            <w:shd w:val="clear" w:color="auto" w:fill="F9FBF9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color w:val="222222"/>
                <w:sz w:val="14"/>
              </w:rPr>
              <w:t>Indeks Kualitas Udara (IKU)</w:t>
            </w:r>
          </w:p>
        </w:tc>
        <w:tc>
          <w:tcPr>
            <w:tcW w:type="dxa" w:w="1134"/>
            <w:shd w:val="clear" w:color="auto" w:fill="F9FBF9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color w:val="222222"/>
                <w:sz w:val="14"/>
              </w:rPr>
              <w:t>0.000</w:t>
            </w:r>
          </w:p>
        </w:tc>
        <w:tc>
          <w:tcPr>
            <w:tcW w:type="dxa" w:w="1020"/>
            <w:shd w:val="clear" w:color="auto" w:fill="F9FBF9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color w:val="222222"/>
                <w:sz w:val="14"/>
              </w:rPr>
              <w:t>1.000</w:t>
            </w:r>
          </w:p>
        </w:tc>
        <w:tc>
          <w:tcPr>
            <w:tcW w:type="dxa" w:w="1020"/>
            <w:shd w:val="clear" w:color="auto" w:fill="F9FBF9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color w:val="222222"/>
                <w:sz w:val="14"/>
              </w:rPr>
              <w:t>1.18x</w:t>
            </w:r>
          </w:p>
        </w:tc>
        <w:tc>
          <w:tcPr>
            <w:tcW w:type="dxa" w:w="2438"/>
            <w:shd w:val="clear" w:color="auto" w:fill="F9FBF9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/>
                <w:i w:val="0"/>
                <w:color w:val="222222"/>
                <w:sz w:val="14"/>
              </w:rPr>
              <w:t>TIDAK SIGNIFIKAN (Pengenceran Ambien)</w:t>
            </w:r>
          </w:p>
        </w:tc>
      </w:tr>
      <w:tr>
        <w:tc>
          <w:tcPr>
            <w:tcW w:type="dxa" w:w="2551"/>
            <w:shd w:val="clear" w:color="auto" w:fill="FFFFFF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/>
                <w:i w:val="0"/>
                <w:color w:val="222222"/>
                <w:sz w:val="14"/>
              </w:rPr>
              <w:t>Luas Ekspansi Industri (Ha)</w:t>
            </w:r>
          </w:p>
        </w:tc>
        <w:tc>
          <w:tcPr>
            <w:tcW w:type="dxa" w:w="2381"/>
            <w:shd w:val="clear" w:color="auto" w:fill="FFFFFF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color w:val="222222"/>
                <w:sz w:val="14"/>
              </w:rPr>
              <w:t>Kehilangan Tutupan Pohon (Ha)</w:t>
            </w:r>
          </w:p>
        </w:tc>
        <w:tc>
          <w:tcPr>
            <w:tcW w:type="dxa" w:w="1134"/>
            <w:shd w:val="clear" w:color="auto" w:fill="FFFFFF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color w:val="222222"/>
                <w:sz w:val="14"/>
              </w:rPr>
              <w:t>35.267</w:t>
            </w:r>
          </w:p>
        </w:tc>
        <w:tc>
          <w:tcPr>
            <w:tcW w:type="dxa" w:w="1020"/>
            <w:shd w:val="clear" w:color="auto" w:fill="FFFFFF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color w:val="222222"/>
                <w:sz w:val="14"/>
              </w:rPr>
              <w:t>p &lt; 0.001</w:t>
            </w:r>
          </w:p>
        </w:tc>
        <w:tc>
          <w:tcPr>
            <w:tcW w:type="dxa" w:w="1020"/>
            <w:shd w:val="clear" w:color="auto" w:fill="FFFFFF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color w:val="222222"/>
                <w:sz w:val="14"/>
              </w:rPr>
              <w:t>81.0x</w:t>
            </w:r>
          </w:p>
        </w:tc>
        <w:tc>
          <w:tcPr>
            <w:tcW w:type="dxa" w:w="2438"/>
            <w:shd w:val="clear" w:color="auto" w:fill="FFFFFF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/>
                <w:i w:val="0"/>
                <w:color w:val="222222"/>
                <w:sz w:val="14"/>
              </w:rPr>
              <w:t>SIGNIFIKAN (Risiko Deforestasi 81x Lipat)</w:t>
            </w:r>
          </w:p>
        </w:tc>
      </w:tr>
    </w:tbl>
    <w:p>
      <w:pPr>
        <w:spacing w:before="30" w:after="40" w:line="252" w:lineRule="auto"/>
        <w:ind w:left="100"/>
        <w:shd w:val="clear" w:color="auto" w:fill="EDF7EE"/>
        <w:pBdr>
          <w:left w:val="single" w:sz="12" w:space="4" w:color="2E7D32"/>
        </w:pBdr>
      </w:pPr>
      <w:r>
        <w:rPr>
          <w:b/>
          <w:i w:val="0"/>
          <w:color w:val="1B5E20"/>
          <w:sz w:val="15"/>
        </w:rPr>
        <w:t>Formulasi Matematis (Eksekusi Ruang &amp; Konsentrasi Deforestasi Sentra):</w:t>
        <w:br/>
      </w:r>
      <w:r>
        <w:rPr>
          <w:rFonts w:ascii="Consolas" w:hAnsi="Consolas"/>
          <w:b w:val="0"/>
          <w:i w:val="0"/>
          <w:color w:val="104010"/>
          <w:sz w:val="14"/>
        </w:rPr>
        <w:t>Luas_IUP_Kawasan_p = Σ ( Luas_Izin_i )  |  Kumulatif_Deforestasi_p(T) = Σ ( Deforestasi_p,t )</w:t>
        <w:br/>
        <w:t>χ² = Σ [ ( O_ij - E_ij )² / E_ij ]  |  Odds_Ratio (OR) = ( a * d ) / ( b * c )</w:t>
        <w:br/>
      </w:r>
      <w:r>
        <w:rPr>
          <w:b/>
          <w:i w:val="0"/>
          <w:color w:val="1B5E20"/>
          <w:sz w:val="15"/>
        </w:rPr>
        <w:t>Persamaan Substitusi:</w:t>
        <w:br/>
      </w:r>
      <w:r>
        <w:rPr>
          <w:rFonts w:ascii="Consolas" w:hAnsi="Consolas"/>
          <w:b w:val="0"/>
          <w:i w:val="0"/>
          <w:color w:val="222222"/>
          <w:sz w:val="14"/>
        </w:rPr>
        <w:t>Konsesi_Sulteng_Sultra = 453.216 Ha (Sulteng) + 446.025 Ha (Sultra) = 899.241 Hektar (75,87% konsesi se-Sulawesi)</w:t>
        <w:br/>
        <w:t>Deforestasi_Sulteng_Sultra = 481.908 Ha (Sulteng) + 337.434 Ha (Sultra) = 819.342 Hektar (59,11% deforestasi se-Sulawesi)</w:t>
      </w:r>
      <w:r>
        <w:rPr>
          <w:b w:val="0"/>
          <w:i/>
          <w:color w:val="555555"/>
          <w:sz w:val="14"/>
        </w:rPr>
        <w:br/>
        <w:t>Ket: Uji Chi-Square membuktikan secara sangat signifikan (χ² = 35.267, p &lt; 0.001, OR = 81.0x) bahwa wilayah konsesi industri nikel menghadapi risiko deforestasi 81 kali lipat lebih tinggi (lihat Tabel 2.4).</w:t>
      </w:r>
    </w:p>
    <w:p>
      <w:pPr>
        <w:spacing w:before="70" w:after="20"/>
        <w:pBdr>
          <w:bottom w:val="single" w:sz="4" w:space="1" w:color="2E7D32"/>
        </w:pBdr>
      </w:pPr>
      <w:r>
        <w:rPr>
          <w:b/>
          <w:i w:val="0"/>
          <w:color w:val="1B5E20"/>
          <w:sz w:val="18"/>
        </w:rPr>
        <w:t>2.4. Driver Deforestasi: Analisis Faktor Pendorong Perubahan Tutupan Hutan</w:t>
      </w:r>
    </w:p>
    <w:p>
      <w:pPr>
        <w:spacing w:before="0" w:after="40" w:line="252" w:lineRule="auto"/>
        <w:jc w:val="both"/>
      </w:pPr>
      <w:r>
        <w:rPr>
          <w:b w:val="0"/>
          <w:i w:val="0"/>
          <w:color w:val="222222"/>
          <w:sz w:val="17"/>
        </w:rPr>
        <w:t xml:space="preserve">Atribusi kausalitas membedah kontribusi faktor pendorong terhadap </w:t>
      </w:r>
      <w:r>
        <w:rPr>
          <w:b/>
          <w:i w:val="0"/>
          <w:color w:val="222222"/>
          <w:sz w:val="17"/>
        </w:rPr>
        <w:t>1,22+ juta hektar deforestasi di Sulawesi</w:t>
      </w:r>
      <w:r>
        <w:rPr>
          <w:b w:val="0"/>
          <w:i w:val="0"/>
          <w:color w:val="222222"/>
          <w:sz w:val="17"/>
        </w:rPr>
        <w:t xml:space="preserve"> (GFW 2014–2023) antara industri komoditas ekstraktif skala besar vs pertanian berpindah masyarakat.</w:t>
      </w:r>
    </w:p>
    <w:p>
      <w:pPr>
        <w:spacing w:before="40" w:after="20"/>
      </w:pPr>
      <w:r>
        <w:rPr>
          <w:b/>
          <w:i/>
          <w:color w:val="2E7D32"/>
          <w:sz w:val="15"/>
        </w:rPr>
        <w:t>Tabel 2.5: Matriks Atribusi Deforestasi dan Pelepasan Emisi CO₂ per Faktor Pendorong (Kumulatif 2014–2023)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76"/>
        <w:gridCol w:w="2176"/>
        <w:gridCol w:w="2176"/>
        <w:gridCol w:w="2176"/>
        <w:gridCol w:w="2176"/>
      </w:tblGrid>
      <w:tr>
        <w:tc>
          <w:tcPr>
            <w:tcW w:type="dxa" w:w="2948"/>
            <w:shd w:val="clear" w:color="auto" w:fill="2E7D32"/>
            <w:tcMar>
              <w:top w:w="18" w:type="dxa"/>
              <w:bottom w:w="18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8" w:color="1B5E20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/>
                <w:i w:val="0"/>
                <w:color w:val="FFFFFF"/>
                <w:sz w:val="15"/>
              </w:rPr>
              <w:t>Faktor Pendorong Deforestasi</w:t>
            </w:r>
          </w:p>
        </w:tc>
        <w:tc>
          <w:tcPr>
            <w:tcW w:type="dxa" w:w="1701"/>
            <w:shd w:val="clear" w:color="auto" w:fill="2E7D32"/>
            <w:tcMar>
              <w:top w:w="18" w:type="dxa"/>
              <w:bottom w:w="18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8" w:color="1B5E20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/>
                <w:i w:val="0"/>
                <w:color w:val="FFFFFF"/>
                <w:sz w:val="15"/>
              </w:rPr>
              <w:t>Total Deforestasi (Ha)</w:t>
            </w:r>
          </w:p>
        </w:tc>
        <w:tc>
          <w:tcPr>
            <w:tcW w:type="dxa" w:w="1247"/>
            <w:shd w:val="clear" w:color="auto" w:fill="2E7D32"/>
            <w:tcMar>
              <w:top w:w="18" w:type="dxa"/>
              <w:bottom w:w="18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8" w:color="1B5E20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i w:val="0"/>
                <w:color w:val="FFFFFF"/>
                <w:sz w:val="15"/>
              </w:rPr>
              <w:t>Proporsi (%)</w:t>
            </w:r>
          </w:p>
        </w:tc>
        <w:tc>
          <w:tcPr>
            <w:tcW w:type="dxa" w:w="2835"/>
            <w:shd w:val="clear" w:color="auto" w:fill="2E7D32"/>
            <w:tcMar>
              <w:top w:w="18" w:type="dxa"/>
              <w:bottom w:w="18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8" w:color="1B5E20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/>
                <w:i w:val="0"/>
                <w:color w:val="FFFFFF"/>
                <w:sz w:val="15"/>
              </w:rPr>
              <w:t>Estimasi Emisi Karbon CO₂ (Mg)</w:t>
            </w:r>
          </w:p>
        </w:tc>
        <w:tc>
          <w:tcPr>
            <w:tcW w:type="dxa" w:w="1814"/>
            <w:shd w:val="clear" w:color="auto" w:fill="2E7D32"/>
            <w:tcMar>
              <w:top w:w="18" w:type="dxa"/>
              <w:bottom w:w="18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8" w:color="1B5E20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i w:val="0"/>
                <w:color w:val="FFFFFF"/>
                <w:sz w:val="15"/>
              </w:rPr>
              <w:t>Proporsi Emisi (%)</w:t>
            </w:r>
          </w:p>
        </w:tc>
      </w:tr>
      <w:tr>
        <w:tc>
          <w:tcPr>
            <w:tcW w:type="dxa" w:w="2948"/>
            <w:shd w:val="clear" w:color="auto" w:fill="FFFFFF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/>
                <w:i w:val="0"/>
                <w:color w:val="222222"/>
                <w:sz w:val="14"/>
              </w:rPr>
              <w:t>Pertambangan dan Sawit (Ekstraktif)</w:t>
            </w:r>
          </w:p>
        </w:tc>
        <w:tc>
          <w:tcPr>
            <w:tcW w:type="dxa" w:w="1701"/>
            <w:shd w:val="clear" w:color="auto" w:fill="FFFFFF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b w:val="0"/>
                <w:i w:val="0"/>
                <w:color w:val="222222"/>
                <w:sz w:val="14"/>
              </w:rPr>
              <w:t>1,001,654</w:t>
            </w:r>
          </w:p>
        </w:tc>
        <w:tc>
          <w:tcPr>
            <w:tcW w:type="dxa" w:w="1247"/>
            <w:shd w:val="clear" w:color="auto" w:fill="FFFFFF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color w:val="222222"/>
                <w:sz w:val="14"/>
              </w:rPr>
              <w:t>82.2%</w:t>
            </w:r>
          </w:p>
        </w:tc>
        <w:tc>
          <w:tcPr>
            <w:tcW w:type="dxa" w:w="2835"/>
            <w:shd w:val="clear" w:color="auto" w:fill="FFFFFF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b w:val="0"/>
                <w:i w:val="0"/>
                <w:color w:val="222222"/>
                <w:sz w:val="14"/>
              </w:rPr>
              <w:t>664,472,885</w:t>
            </w:r>
          </w:p>
        </w:tc>
        <w:tc>
          <w:tcPr>
            <w:tcW w:type="dxa" w:w="1814"/>
            <w:shd w:val="clear" w:color="auto" w:fill="FFFFFF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color w:val="222222"/>
                <w:sz w:val="14"/>
              </w:rPr>
              <w:t>82.6%</w:t>
            </w:r>
          </w:p>
        </w:tc>
      </w:tr>
      <w:tr>
        <w:tc>
          <w:tcPr>
            <w:tcW w:type="dxa" w:w="2948"/>
            <w:shd w:val="clear" w:color="auto" w:fill="F9FBF9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/>
                <w:i w:val="0"/>
                <w:color w:val="222222"/>
                <w:sz w:val="14"/>
              </w:rPr>
              <w:t>Kehutanan Komersial (Logging)</w:t>
            </w:r>
          </w:p>
        </w:tc>
        <w:tc>
          <w:tcPr>
            <w:tcW w:type="dxa" w:w="1701"/>
            <w:shd w:val="clear" w:color="auto" w:fill="F9FBF9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b w:val="0"/>
                <w:i w:val="0"/>
                <w:color w:val="222222"/>
                <w:sz w:val="14"/>
              </w:rPr>
              <w:t>134,637</w:t>
            </w:r>
          </w:p>
        </w:tc>
        <w:tc>
          <w:tcPr>
            <w:tcW w:type="dxa" w:w="1247"/>
            <w:shd w:val="clear" w:color="auto" w:fill="F9FBF9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color w:val="222222"/>
                <w:sz w:val="14"/>
              </w:rPr>
              <w:t>11.1%</w:t>
            </w:r>
          </w:p>
        </w:tc>
        <w:tc>
          <w:tcPr>
            <w:tcW w:type="dxa" w:w="2835"/>
            <w:shd w:val="clear" w:color="auto" w:fill="F9FBF9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b w:val="0"/>
                <w:i w:val="0"/>
                <w:color w:val="222222"/>
                <w:sz w:val="14"/>
              </w:rPr>
              <w:t>87,138,022</w:t>
            </w:r>
          </w:p>
        </w:tc>
        <w:tc>
          <w:tcPr>
            <w:tcW w:type="dxa" w:w="1814"/>
            <w:shd w:val="clear" w:color="auto" w:fill="F9FBF9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color w:val="222222"/>
                <w:sz w:val="14"/>
              </w:rPr>
              <w:t>10.8%</w:t>
            </w:r>
          </w:p>
        </w:tc>
      </w:tr>
      <w:tr>
        <w:tc>
          <w:tcPr>
            <w:tcW w:type="dxa" w:w="2948"/>
            <w:shd w:val="clear" w:color="auto" w:fill="FFFFFF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/>
                <w:i w:val="0"/>
                <w:color w:val="222222"/>
                <w:sz w:val="14"/>
              </w:rPr>
              <w:t>Pertanian Berpindah (Masyarakat)</w:t>
            </w:r>
          </w:p>
        </w:tc>
        <w:tc>
          <w:tcPr>
            <w:tcW w:type="dxa" w:w="1701"/>
            <w:shd w:val="clear" w:color="auto" w:fill="FFFFFF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b w:val="0"/>
                <w:i w:val="0"/>
                <w:color w:val="222222"/>
                <w:sz w:val="14"/>
              </w:rPr>
              <w:t>55,905</w:t>
            </w:r>
          </w:p>
        </w:tc>
        <w:tc>
          <w:tcPr>
            <w:tcW w:type="dxa" w:w="1247"/>
            <w:shd w:val="clear" w:color="auto" w:fill="FFFFFF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color w:val="222222"/>
                <w:sz w:val="14"/>
              </w:rPr>
              <w:t>4.6%</w:t>
            </w:r>
          </w:p>
        </w:tc>
        <w:tc>
          <w:tcPr>
            <w:tcW w:type="dxa" w:w="2835"/>
            <w:shd w:val="clear" w:color="auto" w:fill="FFFFFF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b w:val="0"/>
                <w:i w:val="0"/>
                <w:color w:val="222222"/>
                <w:sz w:val="14"/>
              </w:rPr>
              <w:t>38,215,565</w:t>
            </w:r>
          </w:p>
        </w:tc>
        <w:tc>
          <w:tcPr>
            <w:tcW w:type="dxa" w:w="1814"/>
            <w:shd w:val="clear" w:color="auto" w:fill="FFFFFF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color w:val="222222"/>
                <w:sz w:val="14"/>
              </w:rPr>
              <w:t>4.8%</w:t>
            </w:r>
          </w:p>
        </w:tc>
      </w:tr>
      <w:tr>
        <w:tc>
          <w:tcPr>
            <w:tcW w:type="dxa" w:w="2948"/>
            <w:shd w:val="clear" w:color="auto" w:fill="F9FBF9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/>
                <w:i w:val="0"/>
                <w:color w:val="222222"/>
                <w:sz w:val="14"/>
              </w:rPr>
              <w:t>Tidak Teridentifikasi / Lainnya</w:t>
            </w:r>
          </w:p>
        </w:tc>
        <w:tc>
          <w:tcPr>
            <w:tcW w:type="dxa" w:w="1701"/>
            <w:shd w:val="clear" w:color="auto" w:fill="F9FBF9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b w:val="0"/>
                <w:i w:val="0"/>
                <w:color w:val="222222"/>
                <w:sz w:val="14"/>
              </w:rPr>
              <w:t>25,738</w:t>
            </w:r>
          </w:p>
        </w:tc>
        <w:tc>
          <w:tcPr>
            <w:tcW w:type="dxa" w:w="1247"/>
            <w:shd w:val="clear" w:color="auto" w:fill="F9FBF9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color w:val="222222"/>
                <w:sz w:val="14"/>
              </w:rPr>
              <w:t>2.1%</w:t>
            </w:r>
          </w:p>
        </w:tc>
        <w:tc>
          <w:tcPr>
            <w:tcW w:type="dxa" w:w="2835"/>
            <w:shd w:val="clear" w:color="auto" w:fill="F9FBF9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b w:val="0"/>
                <w:i w:val="0"/>
                <w:color w:val="222222"/>
                <w:sz w:val="14"/>
              </w:rPr>
              <w:t>14,225,278</w:t>
            </w:r>
          </w:p>
        </w:tc>
        <w:tc>
          <w:tcPr>
            <w:tcW w:type="dxa" w:w="1814"/>
            <w:shd w:val="clear" w:color="auto" w:fill="F9FBF9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color w:val="222222"/>
                <w:sz w:val="14"/>
              </w:rPr>
              <w:t>1.8%</w:t>
            </w:r>
          </w:p>
        </w:tc>
      </w:tr>
      <w:tr>
        <w:tc>
          <w:tcPr>
            <w:tcW w:type="dxa" w:w="2948"/>
            <w:shd w:val="clear" w:color="auto" w:fill="FFFFFF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/>
                <w:i w:val="0"/>
                <w:color w:val="222222"/>
                <w:sz w:val="14"/>
              </w:rPr>
              <w:t>Total Agregat Sulawesi</w:t>
            </w:r>
          </w:p>
        </w:tc>
        <w:tc>
          <w:tcPr>
            <w:tcW w:type="dxa" w:w="1701"/>
            <w:shd w:val="clear" w:color="auto" w:fill="FFFFFF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b w:val="0"/>
                <w:i w:val="0"/>
                <w:color w:val="222222"/>
                <w:sz w:val="14"/>
              </w:rPr>
              <w:t>1,217,934</w:t>
            </w:r>
          </w:p>
        </w:tc>
        <w:tc>
          <w:tcPr>
            <w:tcW w:type="dxa" w:w="1247"/>
            <w:shd w:val="clear" w:color="auto" w:fill="FFFFFF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color w:val="222222"/>
                <w:sz w:val="14"/>
              </w:rPr>
              <w:t>100.0%</w:t>
            </w:r>
          </w:p>
        </w:tc>
        <w:tc>
          <w:tcPr>
            <w:tcW w:type="dxa" w:w="2835"/>
            <w:shd w:val="clear" w:color="auto" w:fill="FFFFFF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b w:val="0"/>
                <w:i w:val="0"/>
                <w:color w:val="222222"/>
                <w:sz w:val="14"/>
              </w:rPr>
              <w:t>804,051,750</w:t>
            </w:r>
          </w:p>
        </w:tc>
        <w:tc>
          <w:tcPr>
            <w:tcW w:type="dxa" w:w="1814"/>
            <w:shd w:val="clear" w:color="auto" w:fill="FFFFFF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color w:val="222222"/>
                <w:sz w:val="14"/>
              </w:rPr>
              <w:t>100.0%</w:t>
            </w:r>
          </w:p>
        </w:tc>
      </w:tr>
    </w:tbl>
    <w:p>
      <w:pPr>
        <w:spacing w:before="30" w:after="40" w:line="252" w:lineRule="auto"/>
        <w:ind w:left="100"/>
        <w:shd w:val="clear" w:color="auto" w:fill="EDF7EE"/>
        <w:pBdr>
          <w:left w:val="single" w:sz="12" w:space="4" w:color="2E7D32"/>
        </w:pBdr>
      </w:pPr>
      <w:r>
        <w:rPr>
          <w:b/>
          <w:i w:val="0"/>
          <w:color w:val="1B5E20"/>
          <w:sz w:val="15"/>
        </w:rPr>
        <w:t>Formulasi Matematis (Atribusi Deforestasi Komoditas &amp; Pelepasan Karbon):</w:t>
        <w:br/>
      </w:r>
      <w:r>
        <w:rPr>
          <w:rFonts w:ascii="Consolas" w:hAnsi="Consolas"/>
          <w:b w:val="0"/>
          <w:i w:val="0"/>
          <w:color w:val="104010"/>
          <w:sz w:val="14"/>
        </w:rPr>
        <w:t>Proporsi_Driver_k (%) = ( Total_Deforestasi_k / Total_Deforestasi_Kumulatif ) * 100</w:t>
        <w:br/>
        <w:t>Rasio_Kerusakan = Total_Deforestasi_Tambang_Sawit / Total_Deforestasi_Pertanian_Rakyat</w:t>
        <w:br/>
      </w:r>
      <w:r>
        <w:rPr>
          <w:b/>
          <w:i w:val="0"/>
          <w:color w:val="1B5E20"/>
          <w:sz w:val="15"/>
        </w:rPr>
        <w:t>Persamaan Substitusi:</w:t>
        <w:br/>
      </w:r>
      <w:r>
        <w:rPr>
          <w:rFonts w:ascii="Consolas" w:hAnsi="Consolas"/>
          <w:b w:val="0"/>
          <w:i w:val="0"/>
          <w:color w:val="222222"/>
          <w:sz w:val="14"/>
        </w:rPr>
        <w:t>Proporsi_Tambang_Sawit = ( 1.001.654 Ha / 1.217.934 Ha ) * 100% = 82,24% (Emisi: 664.472.885 Mg CO2 / 82,64%)</w:t>
        <w:br/>
        <w:t>Proporsi_Pertanian_Rakyat = ( 55.905 Ha / 1.217.934 Ha ) * 100% = 4,59% (Emisi: 38.215.565 Mg CO2 / 4,75%)</w:t>
        <w:br/>
        <w:t>Rasio_Kerusakan = 1.001.654 Ha / 55.905 Ha = 17,92 Kali Lipat Lebih Masif</w:t>
      </w:r>
      <w:r>
        <w:rPr>
          <w:b w:val="0"/>
          <w:i/>
          <w:color w:val="555555"/>
          <w:sz w:val="14"/>
        </w:rPr>
        <w:br/>
        <w:t>Ket: Fakta empiris membantah tudingan deforestasi akibat perladangan rakyat: industri tambang &amp; sawit merusak hutan 18 kali lipat lebih masif.</w:t>
      </w:r>
    </w:p>
    <w:p>
      <w:pPr>
        <w:spacing w:before="70" w:after="20"/>
        <w:pBdr>
          <w:bottom w:val="single" w:sz="4" w:space="1" w:color="2E7D32"/>
        </w:pBdr>
      </w:pPr>
      <w:r>
        <w:rPr>
          <w:b/>
          <w:i w:val="0"/>
          <w:color w:val="1B5E20"/>
          <w:sz w:val="18"/>
        </w:rPr>
        <w:t>2.5. Kehancuran Biodiversitas: Dampak Terhadap Habitat Satwa Endemik</w:t>
      </w:r>
    </w:p>
    <w:p>
      <w:pPr>
        <w:spacing w:before="0" w:after="40" w:line="252" w:lineRule="auto"/>
        <w:jc w:val="both"/>
      </w:pPr>
      <w:r>
        <w:rPr>
          <w:b w:val="0"/>
          <w:i w:val="0"/>
          <w:color w:val="222222"/>
          <w:sz w:val="17"/>
        </w:rPr>
        <w:t xml:space="preserve">Ekspansi pertambangan nikel dan kawasan industri mengancam keanekaragaman hayati kawasan biogeografi Wallacea. Data spasial </w:t>
      </w:r>
      <w:r>
        <w:rPr>
          <w:b/>
          <w:i w:val="0"/>
          <w:color w:val="222222"/>
          <w:sz w:val="17"/>
        </w:rPr>
        <w:t>GBIF</w:t>
      </w:r>
      <w:r>
        <w:rPr>
          <w:b w:val="0"/>
          <w:i w:val="0"/>
          <w:color w:val="222222"/>
          <w:sz w:val="17"/>
        </w:rPr>
        <w:t xml:space="preserve"> memetakan </w:t>
      </w:r>
      <w:r>
        <w:rPr>
          <w:b/>
          <w:i w:val="0"/>
          <w:color w:val="222222"/>
          <w:sz w:val="17"/>
        </w:rPr>
        <w:t>269 titik koordinat perjumpaan (occurrence)</w:t>
      </w:r>
      <w:r>
        <w:rPr>
          <w:b w:val="0"/>
          <w:i w:val="0"/>
          <w:color w:val="222222"/>
          <w:sz w:val="17"/>
        </w:rPr>
        <w:t xml:space="preserve"> dari 7 spesies endemik kunci. Validasi </w:t>
      </w:r>
      <w:r>
        <w:rPr>
          <w:b/>
          <w:i w:val="0"/>
          <w:color w:val="222222"/>
          <w:sz w:val="17"/>
        </w:rPr>
        <w:t>IUCN Red List</w:t>
      </w:r>
      <w:r>
        <w:rPr>
          <w:b w:val="0"/>
          <w:i w:val="0"/>
          <w:color w:val="222222"/>
          <w:sz w:val="17"/>
        </w:rPr>
        <w:t xml:space="preserve"> menunjukkan seluruh spesies mengalami tren penurunan populasi (*Decreasing*) dan </w:t>
      </w:r>
      <w:r>
        <w:rPr>
          <w:b/>
          <w:i w:val="0"/>
          <w:color w:val="222222"/>
          <w:sz w:val="17"/>
        </w:rPr>
        <w:t>4 dari 7 spesies terkonfirmasi menghadapi Mining Threat</w:t>
      </w:r>
      <w:r>
        <w:rPr>
          <w:b w:val="0"/>
          <w:i w:val="0"/>
          <w:color w:val="222222"/>
          <w:sz w:val="17"/>
        </w:rPr>
        <w:t>.</w:t>
      </w:r>
    </w:p>
    <w:p>
      <w:pPr>
        <w:spacing w:before="40" w:after="20"/>
      </w:pPr>
      <w:r>
        <w:rPr>
          <w:b/>
          <w:i/>
          <w:color w:val="2E7D32"/>
          <w:sz w:val="15"/>
        </w:rPr>
        <w:t>Tabel 2.6: Matriks Spesies Endemik Wallacea, Status IUCN, Penanda Mining Threat, dan Titik GBIF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  <w:gridCol w:w="1813"/>
      </w:tblGrid>
      <w:tr>
        <w:tc>
          <w:tcPr>
            <w:tcW w:type="dxa" w:w="2381"/>
            <w:shd w:val="clear" w:color="auto" w:fill="2E7D32"/>
            <w:tcMar>
              <w:top w:w="18" w:type="dxa"/>
              <w:bottom w:w="18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8" w:color="1B5E20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/>
                <w:i w:val="0"/>
                <w:color w:val="FFFFFF"/>
                <w:sz w:val="15"/>
              </w:rPr>
              <w:t>Nama Ilmiah (Scientific Name)</w:t>
            </w:r>
          </w:p>
        </w:tc>
        <w:tc>
          <w:tcPr>
            <w:tcW w:type="dxa" w:w="2381"/>
            <w:shd w:val="clear" w:color="auto" w:fill="2E7D32"/>
            <w:tcMar>
              <w:top w:w="18" w:type="dxa"/>
              <w:bottom w:w="18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8" w:color="1B5E20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/>
                <w:i w:val="0"/>
                <w:color w:val="FFFFFF"/>
                <w:sz w:val="15"/>
              </w:rPr>
              <w:t>Nama Umum (Common Name)</w:t>
            </w:r>
          </w:p>
        </w:tc>
        <w:tc>
          <w:tcPr>
            <w:tcW w:type="dxa" w:w="2041"/>
            <w:shd w:val="clear" w:color="auto" w:fill="2E7D32"/>
            <w:tcMar>
              <w:top w:w="18" w:type="dxa"/>
              <w:bottom w:w="18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8" w:color="1B5E20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i w:val="0"/>
                <w:color w:val="FFFFFF"/>
                <w:sz w:val="15"/>
              </w:rPr>
              <w:t>Status IUCN</w:t>
            </w:r>
          </w:p>
        </w:tc>
        <w:tc>
          <w:tcPr>
            <w:tcW w:type="dxa" w:w="1361"/>
            <w:shd w:val="clear" w:color="auto" w:fill="2E7D32"/>
            <w:tcMar>
              <w:top w:w="18" w:type="dxa"/>
              <w:bottom w:w="18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8" w:color="1B5E20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i w:val="0"/>
                <w:color w:val="FFFFFF"/>
                <w:sz w:val="15"/>
              </w:rPr>
              <w:t>Tren Populasi</w:t>
            </w:r>
          </w:p>
        </w:tc>
        <w:tc>
          <w:tcPr>
            <w:tcW w:type="dxa" w:w="1134"/>
            <w:shd w:val="clear" w:color="auto" w:fill="2E7D32"/>
            <w:tcMar>
              <w:top w:w="18" w:type="dxa"/>
              <w:bottom w:w="18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8" w:color="1B5E20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i w:val="0"/>
                <w:color w:val="FFFFFF"/>
                <w:sz w:val="15"/>
              </w:rPr>
              <w:t>Mining Threat</w:t>
            </w:r>
          </w:p>
        </w:tc>
        <w:tc>
          <w:tcPr>
            <w:tcW w:type="dxa" w:w="1247"/>
            <w:shd w:val="clear" w:color="auto" w:fill="2E7D32"/>
            <w:tcMar>
              <w:top w:w="18" w:type="dxa"/>
              <w:bottom w:w="18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8" w:color="1B5E20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i w:val="0"/>
                <w:color w:val="FFFFFF"/>
                <w:sz w:val="15"/>
              </w:rPr>
              <w:t>Titik GBIF</w:t>
            </w:r>
          </w:p>
        </w:tc>
      </w:tr>
      <w:tr>
        <w:tc>
          <w:tcPr>
            <w:tcW w:type="dxa" w:w="2381"/>
            <w:shd w:val="clear" w:color="auto" w:fill="FFFFFF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/>
                <w:i w:val="0"/>
                <w:color w:val="222222"/>
                <w:sz w:val="14"/>
              </w:rPr>
              <w:t>Macaca nigra</w:t>
            </w:r>
          </w:p>
        </w:tc>
        <w:tc>
          <w:tcPr>
            <w:tcW w:type="dxa" w:w="2381"/>
            <w:shd w:val="clear" w:color="auto" w:fill="FFFFFF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color w:val="222222"/>
                <w:sz w:val="14"/>
              </w:rPr>
              <w:t>Celebes Crested Macaque</w:t>
            </w:r>
          </w:p>
        </w:tc>
        <w:tc>
          <w:tcPr>
            <w:tcW w:type="dxa" w:w="2041"/>
            <w:shd w:val="clear" w:color="auto" w:fill="FFFFFF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color w:val="222222"/>
                <w:sz w:val="14"/>
              </w:rPr>
              <w:t>Critically Endangered</w:t>
            </w:r>
          </w:p>
        </w:tc>
        <w:tc>
          <w:tcPr>
            <w:tcW w:type="dxa" w:w="1361"/>
            <w:shd w:val="clear" w:color="auto" w:fill="FFFFFF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color w:val="222222"/>
                <w:sz w:val="14"/>
              </w:rPr>
              <w:t>Decreasing</w:t>
            </w:r>
          </w:p>
        </w:tc>
        <w:tc>
          <w:tcPr>
            <w:tcW w:type="dxa" w:w="1134"/>
            <w:shd w:val="clear" w:color="auto" w:fill="FFFFFF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color w:val="222222"/>
                <w:sz w:val="14"/>
              </w:rPr>
              <w:t>Yes</w:t>
            </w:r>
          </w:p>
        </w:tc>
        <w:tc>
          <w:tcPr>
            <w:tcW w:type="dxa" w:w="1247"/>
            <w:shd w:val="clear" w:color="auto" w:fill="FFFFFF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color w:val="222222"/>
                <w:sz w:val="14"/>
              </w:rPr>
              <w:t>87</w:t>
            </w:r>
          </w:p>
        </w:tc>
      </w:tr>
      <w:tr>
        <w:tc>
          <w:tcPr>
            <w:tcW w:type="dxa" w:w="2381"/>
            <w:shd w:val="clear" w:color="auto" w:fill="F9FBF9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/>
                <w:i w:val="0"/>
                <w:color w:val="222222"/>
                <w:sz w:val="14"/>
              </w:rPr>
              <w:t>Macrocephalon maleo</w:t>
            </w:r>
          </w:p>
        </w:tc>
        <w:tc>
          <w:tcPr>
            <w:tcW w:type="dxa" w:w="2381"/>
            <w:shd w:val="clear" w:color="auto" w:fill="F9FBF9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color w:val="222222"/>
                <w:sz w:val="14"/>
              </w:rPr>
              <w:t>Maleo</w:t>
            </w:r>
          </w:p>
        </w:tc>
        <w:tc>
          <w:tcPr>
            <w:tcW w:type="dxa" w:w="2041"/>
            <w:shd w:val="clear" w:color="auto" w:fill="F9FBF9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color w:val="222222"/>
                <w:sz w:val="14"/>
              </w:rPr>
              <w:t>Critically Endangered</w:t>
            </w:r>
          </w:p>
        </w:tc>
        <w:tc>
          <w:tcPr>
            <w:tcW w:type="dxa" w:w="1361"/>
            <w:shd w:val="clear" w:color="auto" w:fill="F9FBF9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color w:val="222222"/>
                <w:sz w:val="14"/>
              </w:rPr>
              <w:t>Decreasing</w:t>
            </w:r>
          </w:p>
        </w:tc>
        <w:tc>
          <w:tcPr>
            <w:tcW w:type="dxa" w:w="1134"/>
            <w:shd w:val="clear" w:color="auto" w:fill="F9FBF9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color w:val="222222"/>
                <w:sz w:val="14"/>
              </w:rPr>
              <w:t>No</w:t>
            </w:r>
          </w:p>
        </w:tc>
        <w:tc>
          <w:tcPr>
            <w:tcW w:type="dxa" w:w="1247"/>
            <w:shd w:val="clear" w:color="auto" w:fill="F9FBF9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color w:val="222222"/>
                <w:sz w:val="14"/>
              </w:rPr>
              <w:t>95</w:t>
            </w:r>
          </w:p>
        </w:tc>
      </w:tr>
      <w:tr>
        <w:tc>
          <w:tcPr>
            <w:tcW w:type="dxa" w:w="2381"/>
            <w:shd w:val="clear" w:color="auto" w:fill="FFFFFF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/>
                <w:i w:val="0"/>
                <w:color w:val="222222"/>
                <w:sz w:val="14"/>
              </w:rPr>
              <w:t>Bubalus depressicornis</w:t>
            </w:r>
          </w:p>
        </w:tc>
        <w:tc>
          <w:tcPr>
            <w:tcW w:type="dxa" w:w="2381"/>
            <w:shd w:val="clear" w:color="auto" w:fill="FFFFFF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color w:val="222222"/>
                <w:sz w:val="14"/>
              </w:rPr>
              <w:t>Lowland Anoa</w:t>
            </w:r>
          </w:p>
        </w:tc>
        <w:tc>
          <w:tcPr>
            <w:tcW w:type="dxa" w:w="2041"/>
            <w:shd w:val="clear" w:color="auto" w:fill="FFFFFF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color w:val="222222"/>
                <w:sz w:val="14"/>
              </w:rPr>
              <w:t>Endangered</w:t>
            </w:r>
          </w:p>
        </w:tc>
        <w:tc>
          <w:tcPr>
            <w:tcW w:type="dxa" w:w="1361"/>
            <w:shd w:val="clear" w:color="auto" w:fill="FFFFFF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color w:val="222222"/>
                <w:sz w:val="14"/>
              </w:rPr>
              <w:t>Decreasing</w:t>
            </w:r>
          </w:p>
        </w:tc>
        <w:tc>
          <w:tcPr>
            <w:tcW w:type="dxa" w:w="1134"/>
            <w:shd w:val="clear" w:color="auto" w:fill="FFFFFF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color w:val="222222"/>
                <w:sz w:val="14"/>
              </w:rPr>
              <w:t>Yes</w:t>
            </w:r>
          </w:p>
        </w:tc>
        <w:tc>
          <w:tcPr>
            <w:tcW w:type="dxa" w:w="1247"/>
            <w:shd w:val="clear" w:color="auto" w:fill="FFFFFF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color w:val="222222"/>
                <w:sz w:val="14"/>
              </w:rPr>
              <w:t>18</w:t>
            </w:r>
          </w:p>
        </w:tc>
      </w:tr>
      <w:tr>
        <w:tc>
          <w:tcPr>
            <w:tcW w:type="dxa" w:w="2381"/>
            <w:shd w:val="clear" w:color="auto" w:fill="F9FBF9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/>
                <w:i w:val="0"/>
                <w:color w:val="222222"/>
                <w:sz w:val="14"/>
              </w:rPr>
              <w:t>Bubalus quarlesi</w:t>
            </w:r>
          </w:p>
        </w:tc>
        <w:tc>
          <w:tcPr>
            <w:tcW w:type="dxa" w:w="2381"/>
            <w:shd w:val="clear" w:color="auto" w:fill="F9FBF9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color w:val="222222"/>
                <w:sz w:val="14"/>
              </w:rPr>
              <w:t>Mountain Anoa</w:t>
            </w:r>
          </w:p>
        </w:tc>
        <w:tc>
          <w:tcPr>
            <w:tcW w:type="dxa" w:w="2041"/>
            <w:shd w:val="clear" w:color="auto" w:fill="F9FBF9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color w:val="222222"/>
                <w:sz w:val="14"/>
              </w:rPr>
              <w:t>Endangered</w:t>
            </w:r>
          </w:p>
        </w:tc>
        <w:tc>
          <w:tcPr>
            <w:tcW w:type="dxa" w:w="1361"/>
            <w:shd w:val="clear" w:color="auto" w:fill="F9FBF9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color w:val="222222"/>
                <w:sz w:val="14"/>
              </w:rPr>
              <w:t>Decreasing</w:t>
            </w:r>
          </w:p>
        </w:tc>
        <w:tc>
          <w:tcPr>
            <w:tcW w:type="dxa" w:w="1134"/>
            <w:shd w:val="clear" w:color="auto" w:fill="F9FBF9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color w:val="222222"/>
                <w:sz w:val="14"/>
              </w:rPr>
              <w:t>Yes</w:t>
            </w:r>
          </w:p>
        </w:tc>
        <w:tc>
          <w:tcPr>
            <w:tcW w:type="dxa" w:w="1247"/>
            <w:shd w:val="clear" w:color="auto" w:fill="F9FBF9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color w:val="222222"/>
                <w:sz w:val="14"/>
              </w:rPr>
              <w:t>10</w:t>
            </w:r>
          </w:p>
        </w:tc>
      </w:tr>
      <w:tr>
        <w:tc>
          <w:tcPr>
            <w:tcW w:type="dxa" w:w="2381"/>
            <w:shd w:val="clear" w:color="auto" w:fill="FFFFFF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/>
                <w:i w:val="0"/>
                <w:color w:val="222222"/>
                <w:sz w:val="14"/>
              </w:rPr>
              <w:t>Babyrousa celebensis</w:t>
            </w:r>
          </w:p>
        </w:tc>
        <w:tc>
          <w:tcPr>
            <w:tcW w:type="dxa" w:w="2381"/>
            <w:shd w:val="clear" w:color="auto" w:fill="FFFFFF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color w:val="222222"/>
                <w:sz w:val="14"/>
              </w:rPr>
              <w:t>Sulawesi Babirusa</w:t>
            </w:r>
          </w:p>
        </w:tc>
        <w:tc>
          <w:tcPr>
            <w:tcW w:type="dxa" w:w="2041"/>
            <w:shd w:val="clear" w:color="auto" w:fill="FFFFFF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color w:val="222222"/>
                <w:sz w:val="14"/>
              </w:rPr>
              <w:t>Vulnerable</w:t>
            </w:r>
          </w:p>
        </w:tc>
        <w:tc>
          <w:tcPr>
            <w:tcW w:type="dxa" w:w="1361"/>
            <w:shd w:val="clear" w:color="auto" w:fill="FFFFFF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color w:val="222222"/>
                <w:sz w:val="14"/>
              </w:rPr>
              <w:t>Decreasing</w:t>
            </w:r>
          </w:p>
        </w:tc>
        <w:tc>
          <w:tcPr>
            <w:tcW w:type="dxa" w:w="1134"/>
            <w:shd w:val="clear" w:color="auto" w:fill="FFFFFF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color w:val="222222"/>
                <w:sz w:val="14"/>
              </w:rPr>
              <w:t>Yes</w:t>
            </w:r>
          </w:p>
        </w:tc>
        <w:tc>
          <w:tcPr>
            <w:tcW w:type="dxa" w:w="1247"/>
            <w:shd w:val="clear" w:color="auto" w:fill="FFFFFF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color w:val="222222"/>
                <w:sz w:val="14"/>
              </w:rPr>
              <w:t>33</w:t>
            </w:r>
          </w:p>
        </w:tc>
      </w:tr>
      <w:tr>
        <w:tc>
          <w:tcPr>
            <w:tcW w:type="dxa" w:w="2381"/>
            <w:shd w:val="clear" w:color="auto" w:fill="F9FBF9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/>
                <w:i w:val="0"/>
                <w:color w:val="222222"/>
                <w:sz w:val="14"/>
              </w:rPr>
              <w:t>Babyrousa babyrussa</w:t>
            </w:r>
          </w:p>
        </w:tc>
        <w:tc>
          <w:tcPr>
            <w:tcW w:type="dxa" w:w="2381"/>
            <w:shd w:val="clear" w:color="auto" w:fill="F9FBF9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color w:val="222222"/>
                <w:sz w:val="14"/>
              </w:rPr>
              <w:t>Hairy Babirusa</w:t>
            </w:r>
          </w:p>
        </w:tc>
        <w:tc>
          <w:tcPr>
            <w:tcW w:type="dxa" w:w="2041"/>
            <w:shd w:val="clear" w:color="auto" w:fill="F9FBF9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color w:val="222222"/>
                <w:sz w:val="14"/>
              </w:rPr>
              <w:t>Vulnerable</w:t>
            </w:r>
          </w:p>
        </w:tc>
        <w:tc>
          <w:tcPr>
            <w:tcW w:type="dxa" w:w="1361"/>
            <w:shd w:val="clear" w:color="auto" w:fill="F9FBF9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color w:val="222222"/>
                <w:sz w:val="14"/>
              </w:rPr>
              <w:t>Decreasing</w:t>
            </w:r>
          </w:p>
        </w:tc>
        <w:tc>
          <w:tcPr>
            <w:tcW w:type="dxa" w:w="1134"/>
            <w:shd w:val="clear" w:color="auto" w:fill="F9FBF9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color w:val="222222"/>
                <w:sz w:val="14"/>
              </w:rPr>
              <w:t>No</w:t>
            </w:r>
          </w:p>
        </w:tc>
        <w:tc>
          <w:tcPr>
            <w:tcW w:type="dxa" w:w="1247"/>
            <w:shd w:val="clear" w:color="auto" w:fill="F9FBF9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color w:val="222222"/>
                <w:sz w:val="14"/>
              </w:rPr>
              <w:t>14</w:t>
            </w:r>
          </w:p>
        </w:tc>
      </w:tr>
      <w:tr>
        <w:tc>
          <w:tcPr>
            <w:tcW w:type="dxa" w:w="2381"/>
            <w:shd w:val="clear" w:color="auto" w:fill="FFFFFF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/>
                <w:i w:val="0"/>
                <w:color w:val="222222"/>
                <w:sz w:val="14"/>
              </w:rPr>
              <w:t>Tarsius tarsier</w:t>
            </w:r>
          </w:p>
        </w:tc>
        <w:tc>
          <w:tcPr>
            <w:tcW w:type="dxa" w:w="2381"/>
            <w:shd w:val="clear" w:color="auto" w:fill="FFFFFF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color w:val="222222"/>
                <w:sz w:val="14"/>
              </w:rPr>
              <w:t>Spectral Tarsier</w:t>
            </w:r>
          </w:p>
        </w:tc>
        <w:tc>
          <w:tcPr>
            <w:tcW w:type="dxa" w:w="2041"/>
            <w:shd w:val="clear" w:color="auto" w:fill="FFFFFF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color w:val="222222"/>
                <w:sz w:val="14"/>
              </w:rPr>
              <w:t>Vulnerable</w:t>
            </w:r>
          </w:p>
        </w:tc>
        <w:tc>
          <w:tcPr>
            <w:tcW w:type="dxa" w:w="1361"/>
            <w:shd w:val="clear" w:color="auto" w:fill="FFFFFF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color w:val="222222"/>
                <w:sz w:val="14"/>
              </w:rPr>
              <w:t>Decreasing</w:t>
            </w:r>
          </w:p>
        </w:tc>
        <w:tc>
          <w:tcPr>
            <w:tcW w:type="dxa" w:w="1134"/>
            <w:shd w:val="clear" w:color="auto" w:fill="FFFFFF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color w:val="222222"/>
                <w:sz w:val="14"/>
              </w:rPr>
              <w:t>No</w:t>
            </w:r>
          </w:p>
        </w:tc>
        <w:tc>
          <w:tcPr>
            <w:tcW w:type="dxa" w:w="1247"/>
            <w:shd w:val="clear" w:color="auto" w:fill="FFFFFF"/>
            <w:tcMar>
              <w:top w:w="16" w:type="dxa"/>
              <w:bottom w:w="16" w:type="dxa"/>
              <w:left w:w="40" w:type="dxa"/>
              <w:right w:w="40" w:type="dxa"/>
            </w:tcMar>
            <w:tcBorders>
              <w:top w:val="single" w:sz="4" w:color="D8D8D8" w:space="0"/>
              <w:left w:val="single" w:sz="4" w:color="D8D8D8" w:space="0"/>
              <w:bottom w:val="single" w:sz="4" w:color="D8D8D8" w:space="0"/>
              <w:right w:val="single" w:sz="4" w:color="D8D8D8" w:space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color w:val="222222"/>
                <w:sz w:val="14"/>
              </w:rPr>
              <w:t>12</w:t>
            </w:r>
          </w:p>
        </w:tc>
      </w:tr>
    </w:tbl>
    <w:p>
      <w:pPr>
        <w:spacing w:before="30" w:after="40" w:line="252" w:lineRule="auto"/>
        <w:ind w:left="100"/>
        <w:shd w:val="clear" w:color="auto" w:fill="EDF7EE"/>
        <w:pBdr>
          <w:left w:val="single" w:sz="12" w:space="4" w:color="2E7D32"/>
        </w:pBdr>
      </w:pPr>
      <w:r>
        <w:rPr>
          <w:b/>
          <w:i w:val="0"/>
          <w:color w:val="1B5E20"/>
          <w:sz w:val="15"/>
        </w:rPr>
        <w:t>Formulasi Matematis (Keterancaman Spesies Wallacea &amp; Penanda Mining Threat):</w:t>
        <w:br/>
      </w:r>
      <w:r>
        <w:rPr>
          <w:rFonts w:ascii="Consolas" w:hAnsi="Consolas"/>
          <w:b w:val="0"/>
          <w:i w:val="0"/>
          <w:color w:val="104010"/>
          <w:sz w:val="14"/>
        </w:rPr>
        <w:t>O_s = Σ o_i  |  Proporsi_Kritis (%) = ( N_CR_EN / N_total ) * 100  |  Rasio_Mining (%) = ( N_Mining / N_total ) * 100</w:t>
        <w:br/>
      </w:r>
      <w:r>
        <w:rPr>
          <w:b/>
          <w:i w:val="0"/>
          <w:color w:val="1B5E20"/>
          <w:sz w:val="15"/>
        </w:rPr>
        <w:t>Persamaan Substitusi:</w:t>
        <w:br/>
      </w:r>
      <w:r>
        <w:rPr>
          <w:rFonts w:ascii="Consolas" w:hAnsi="Consolas"/>
          <w:b w:val="0"/>
          <w:i w:val="0"/>
          <w:color w:val="222222"/>
          <w:sz w:val="14"/>
        </w:rPr>
        <w:t>Titik_Occurrence_GBIF = 269 Titik Terverifikasi (Maleo 95, Macaca 87, Babirusa 47, Anoa 28, Tarsius 12)</w:t>
        <w:br/>
        <w:t>Status_Konservasi_Kritis = [ ( 2 CR + 2 EN ) / 7 Spesies ] * 100% = 57,14% Sangat Terancam Punah</w:t>
        <w:br/>
        <w:t>Penanda_Mining_Threat = [ 4 Spesies / 7 Spesies ] * 100% = 57,14% Beririsan Langsung dengan Konsesi IUP Nikel</w:t>
      </w:r>
      <w:r>
        <w:rPr>
          <w:b w:val="0"/>
          <w:i/>
          <w:color w:val="555555"/>
          <w:sz w:val="14"/>
        </w:rPr>
        <w:br/>
        <w:t>Ket: Spesies Anoa dan Babirusa terbukti secara empiris menghadapi ancaman kepunahan langsung akibat fragmentasi habitat konsesi pertambangan.</w:t>
      </w:r>
    </w:p>
    <w:sectPr w:rsidR="00FC693F" w:rsidRPr="0006063C" w:rsidSect="00034616"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