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B5E20"/>
          <w:sz w:val="19"/>
        </w:rPr>
        <w:t>METODOLOGI PENELITIAN — BAB 1: EKSPANSI INDUSTRI EKSTRAKTIF DAN INFRASTRUKTUR PENUNJANG DI PULAU SULAWESI</w:t>
      </w:r>
    </w:p>
    <w:p>
      <w:pPr>
        <w:spacing w:after="40"/>
        <w:pBdr>
          <w:bottom w:val="single" w:sz="4" w:space="1" w:color="1B5E20"/>
        </w:pBdr>
      </w:pPr>
      <w:r>
        <w:rPr>
          <w:b w:val="0"/>
          <w:i/>
          <w:color w:val="555555"/>
          <w:sz w:val="15"/>
        </w:rPr>
        <w:t>CELIOS — Center of Economic and Law Studies  ·  Riset Daya Dukung &amp; Daya Tampung Lingkungan Hidup (D3TLH) Sulawesi  ·  2014–2024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vAlign w:val="top"/>
            <w:tcBorders>
              <w:top w:val="none"/>
              <w:left w:val="none"/>
              <w:bottom w:val="none"/>
              <w:right w:val="single" w:sz="4" w:color="BBBBBB" w:space="0"/>
            </w:tcBorders>
            <w:tcMar>
              <w:top w:w="0" w:type="dxa"/>
              <w:bottom w:w="0" w:type="dxa"/>
              <w:left w:w="0" w:type="dxa"/>
              <w:right w:w="150" w:type="dxa"/>
            </w:tcMar>
          </w:tcPr>
          <w:p>
            <w:pPr>
              <w:spacing w:before="80" w:after="40"/>
              <w:pBdr>
                <w:bottom w:val="single" w:sz="4" w:space="1" w:color="2E7D32"/>
              </w:pBdr>
            </w:pPr>
            <w:r>
              <w:rPr>
                <w:b/>
                <w:i w:val="0"/>
                <w:color w:val="1B5E20"/>
                <w:sz w:val="15"/>
              </w:rPr>
              <w:t>1.  DESAIN PENELITIAN &amp; TUJUAN</w:t>
            </w:r>
          </w:p>
          <w:p>
            <w:pPr>
              <w:spacing w:after="60"/>
              <w:jc w:val="both"/>
            </w:pPr>
            <w:r>
              <w:rPr>
                <w:b w:val="0"/>
                <w:i w:val="0"/>
                <w:color w:val="222222"/>
                <w:sz w:val="17"/>
              </w:rPr>
              <w:t xml:space="preserve">Penelitian ini menggunakan </w:t>
            </w:r>
            <w:r>
              <w:rPr>
                <w:b/>
                <w:i w:val="0"/>
                <w:color w:val="222222"/>
                <w:sz w:val="17"/>
              </w:rPr>
              <w:t>desain audit spasial-statistik kuantitatif</w:t>
            </w:r>
            <w:r>
              <w:rPr>
                <w:b w:val="0"/>
                <w:i w:val="0"/>
                <w:color w:val="222222"/>
                <w:sz w:val="17"/>
              </w:rPr>
              <w:t xml:space="preserve"> untuk membedah ekspansi industri ekstraktif (tambang, smelter, PLTU captive) di enam provinsi Pulau Sulawesi sepanjang </w:t>
            </w:r>
            <w:r>
              <w:rPr>
                <w:b/>
                <w:i w:val="0"/>
                <w:color w:val="222222"/>
                <w:sz w:val="17"/>
              </w:rPr>
              <w:t>2014–2024</w:t>
            </w:r>
            <w:r>
              <w:rPr>
                <w:b w:val="0"/>
                <w:i w:val="0"/>
                <w:color w:val="222222"/>
                <w:sz w:val="17"/>
              </w:rPr>
              <w:t xml:space="preserve"> berbasis data resmi terbuka lintas kementerian/lembaga. Tiga tujuan utama: (1) </w:t>
            </w:r>
            <w:r>
              <w:rPr>
                <w:b/>
                <w:i w:val="0"/>
                <w:color w:val="222222"/>
                <w:sz w:val="17"/>
              </w:rPr>
              <w:t>mengukur</w:t>
            </w:r>
            <w:r>
              <w:rPr>
                <w:b w:val="0"/>
                <w:i w:val="0"/>
                <w:color w:val="222222"/>
                <w:sz w:val="17"/>
              </w:rPr>
              <w:t xml:space="preserve"> dominasi sektor ekstraktif dalam struktur PDRB provinsi dan kabupaten; (2) </w:t>
            </w:r>
            <w:r>
              <w:rPr>
                <w:b/>
                <w:i w:val="0"/>
                <w:color w:val="222222"/>
                <w:sz w:val="17"/>
              </w:rPr>
              <w:t>mengidentifikasi</w:t>
            </w:r>
            <w:r>
              <w:rPr>
                <w:b w:val="0"/>
                <w:i w:val="0"/>
                <w:color w:val="222222"/>
                <w:sz w:val="17"/>
              </w:rPr>
              <w:t xml:space="preserve"> konsentrasi spasial fasilitas smelter, PLTU captive, izin tambang, dan modal PMDN; serta (3) </w:t>
            </w:r>
            <w:r>
              <w:rPr>
                <w:b/>
                <w:i w:val="0"/>
                <w:color w:val="222222"/>
                <w:sz w:val="17"/>
              </w:rPr>
              <w:t>menguji</w:t>
            </w:r>
            <w:r>
              <w:rPr>
                <w:b w:val="0"/>
                <w:i w:val="0"/>
                <w:color w:val="222222"/>
                <w:sz w:val="17"/>
              </w:rPr>
              <w:t xml:space="preserve"> keterkaitan statistik antara tekanan industri dan kehilangan tutupan hutan.</w:t>
            </w:r>
          </w:p>
          <w:p>
            <w:pPr>
              <w:spacing w:before="80" w:after="40"/>
              <w:pBdr>
                <w:bottom w:val="single" w:sz="4" w:space="1" w:color="2E7D32"/>
              </w:pBdr>
            </w:pPr>
            <w:r>
              <w:rPr>
                <w:b/>
                <w:i w:val="0"/>
                <w:color w:val="1B5E20"/>
                <w:sz w:val="15"/>
              </w:rPr>
              <w:t>2.  SUMBER DATA &amp; CAKUPAN</w:t>
            </w:r>
          </w:p>
          <w:p>
            <w:pPr>
              <w:spacing w:after="60"/>
              <w:jc w:val="both"/>
            </w:pPr>
            <w:r>
              <w:rPr>
                <w:b w:val="0"/>
                <w:i w:val="0"/>
                <w:color w:val="222222"/>
                <w:sz w:val="17"/>
              </w:rPr>
              <w:t>Seluruh data bersumber dari institusi resmi (</w:t>
            </w:r>
            <w:r>
              <w:rPr>
                <w:b/>
                <w:i w:val="0"/>
                <w:color w:val="222222"/>
                <w:sz w:val="17"/>
              </w:rPr>
              <w:t>BPS, ESDM/Minerbaone, BKPM, GEM, GFW, KNKT</w:t>
            </w:r>
            <w:r>
              <w:rPr>
                <w:b w:val="0"/>
                <w:i w:val="0"/>
                <w:color w:val="222222"/>
                <w:sz w:val="17"/>
              </w:rPr>
              <w:t xml:space="preserve"> — diolah CELIOS), mencakup 6 provinsi se-Sulawesi 2014–2024 dan membentuk data panel provinsi-tahun (N = 60) untuk seluruh pengujian statistik.</w:t>
            </w:r>
          </w:p>
          <w:p>
            <w:pPr>
              <w:spacing w:before="80" w:after="40"/>
              <w:pBdr>
                <w:bottom w:val="single" w:sz="4" w:space="1" w:color="2E7D32"/>
              </w:pBdr>
            </w:pPr>
            <w:r>
              <w:rPr>
                <w:b/>
                <w:i w:val="0"/>
                <w:color w:val="1B5E20"/>
                <w:sz w:val="15"/>
              </w:rPr>
              <w:t>3.  OPERASIONALISASI INDIKATOR</w:t>
            </w: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402"/>
              <w:gridCol w:w="3402"/>
              <w:gridCol w:w="3402"/>
            </w:tblGrid>
            <w:tr>
              <w:tc>
                <w:tcPr>
                  <w:tcW w:type="dxa" w:w="283"/>
                  <w:shd w:val="clear" w:color="auto" w:fill="2E7D32"/>
                </w:tcPr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FFFFFF"/>
                      <w:sz w:val="14"/>
                    </w:rPr>
                    <w:t>#</w:t>
                  </w:r>
                </w:p>
              </w:tc>
              <w:tc>
                <w:tcPr>
                  <w:tcW w:type="dxa" w:w="2438"/>
                  <w:shd w:val="clear" w:color="auto" w:fill="2E7D32"/>
                </w:tcPr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FFFFFF"/>
                      <w:sz w:val="14"/>
                    </w:rPr>
                    <w:t>Indikator</w:t>
                  </w:r>
                </w:p>
              </w:tc>
              <w:tc>
                <w:tcPr>
                  <w:tcW w:type="dxa" w:w="1701"/>
                  <w:shd w:val="clear" w:color="auto" w:fill="2E7D32"/>
                </w:tcPr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FFFFFF"/>
                      <w:sz w:val="14"/>
                    </w:rPr>
                    <w:t>Institusi Sumber Resmi</w:t>
                  </w:r>
                </w:p>
              </w:tc>
            </w:tr>
            <w:tr>
              <w:tc>
                <w:tcPr>
                  <w:tcW w:type="dxa" w:w="283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</w:t>
                  </w:r>
                </w:p>
              </w:tc>
              <w:tc>
                <w:tcPr>
                  <w:tcW w:type="dxa" w:w="2438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PDRB Sektoral Provinsi &amp; Kabupaten</w:t>
                  </w:r>
                </w:p>
              </w:tc>
              <w:tc>
                <w:tcPr>
                  <w:tcW w:type="dxa" w:w="1701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BPS (Subject 52)</w:t>
                  </w:r>
                </w:p>
              </w:tc>
            </w:tr>
            <w:tr>
              <w:tc>
                <w:tcPr>
                  <w:tcW w:type="dxa" w:w="283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2</w:t>
                  </w:r>
                </w:p>
              </w:tc>
              <w:tc>
                <w:tcPr>
                  <w:tcW w:type="dxa" w:w="2438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IUP Tambang Baru &amp; Luas Konsesi</w:t>
                  </w:r>
                </w:p>
              </w:tc>
              <w:tc>
                <w:tcPr>
                  <w:tcW w:type="dxa" w:w="1701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ESDM — Minerbaone</w:t>
                  </w:r>
                </w:p>
              </w:tc>
            </w:tr>
            <w:tr>
              <w:tc>
                <w:tcPr>
                  <w:tcW w:type="dxa" w:w="283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3</w:t>
                  </w:r>
                </w:p>
              </w:tc>
              <w:tc>
                <w:tcPr>
                  <w:tcW w:type="dxa" w:w="2438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Smelter Nikel (778 unit)</w:t>
                  </w:r>
                </w:p>
              </w:tc>
              <w:tc>
                <w:tcPr>
                  <w:tcW w:type="dxa" w:w="1701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ESDM &amp; CGS</w:t>
                  </w:r>
                </w:p>
              </w:tc>
            </w:tr>
            <w:tr>
              <w:tc>
                <w:tcPr>
                  <w:tcW w:type="dxa" w:w="283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4</w:t>
                  </w:r>
                </w:p>
              </w:tc>
              <w:tc>
                <w:tcPr>
                  <w:tcW w:type="dxa" w:w="2438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PLTU Captive (9.825 MW)</w:t>
                  </w:r>
                </w:p>
              </w:tc>
              <w:tc>
                <w:tcPr>
                  <w:tcW w:type="dxa" w:w="1701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Global Energy Monitor</w:t>
                  </w:r>
                </w:p>
              </w:tc>
            </w:tr>
            <w:tr>
              <w:tc>
                <w:tcPr>
                  <w:tcW w:type="dxa" w:w="283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5</w:t>
                  </w:r>
                </w:p>
              </w:tc>
              <w:tc>
                <w:tcPr>
                  <w:tcW w:type="dxa" w:w="2438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Realisasi Investasi PMDN</w:t>
                  </w:r>
                </w:p>
              </w:tc>
              <w:tc>
                <w:tcPr>
                  <w:tcW w:type="dxa" w:w="1701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Kement. Investasi/BKPM</w:t>
                  </w:r>
                </w:p>
              </w:tc>
            </w:tr>
            <w:tr>
              <w:tc>
                <w:tcPr>
                  <w:tcW w:type="dxa" w:w="283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6</w:t>
                  </w:r>
                </w:p>
              </w:tc>
              <w:tc>
                <w:tcPr>
                  <w:tcW w:type="dxa" w:w="2438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Deforestasi &amp; Driver</w:t>
                  </w:r>
                </w:p>
              </w:tc>
              <w:tc>
                <w:tcPr>
                  <w:tcW w:type="dxa" w:w="1701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Global Forest Watch</w:t>
                  </w:r>
                </w:p>
              </w:tc>
            </w:tr>
            <w:tr>
              <w:tc>
                <w:tcPr>
                  <w:tcW w:type="dxa" w:w="283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7</w:t>
                  </w:r>
                </w:p>
              </w:tc>
              <w:tc>
                <w:tcPr>
                  <w:tcW w:type="dxa" w:w="2438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Pelabuhan &amp; Terminal Ekspor</w:t>
                  </w:r>
                </w:p>
              </w:tc>
              <w:tc>
                <w:tcPr>
                  <w:tcW w:type="dxa" w:w="1701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KNKT · Perpres PSN</w:t>
                  </w:r>
                </w:p>
              </w:tc>
            </w:tr>
          </w:tbl>
          <w:p>
            <w:pPr>
              <w:spacing w:before="80" w:after="40"/>
              <w:pBdr>
                <w:bottom w:val="single" w:sz="4" w:space="1" w:color="2E7D32"/>
              </w:pBdr>
            </w:pPr>
            <w:r>
              <w:rPr>
                <w:b/>
                <w:i w:val="0"/>
                <w:color w:val="1B5E20"/>
                <w:sz w:val="15"/>
              </w:rPr>
              <w:t>6.  BAGAN ALUR DESAIN PENELITIAN</w:t>
            </w:r>
          </w:p>
          <w:p>
            <w:pPr>
              <w:spacing w:before="40" w:after="20"/>
              <w:jc w:val="center"/>
              <w:pBdr>
                <w:top w:val="single" w:sz="4" w:space="2" w:color="444444"/>
                <w:left w:val="single" w:sz="4" w:space="2" w:color="444444"/>
                <w:bottom w:val="single" w:sz="4" w:space="2" w:color="444444"/>
                <w:right w:val="single" w:sz="4" w:space="2" w:color="444444"/>
              </w:pBdr>
            </w:pPr>
            <w:r>
              <w:rPr>
                <w:b/>
                <w:i w:val="0"/>
                <w:color w:val="222222"/>
                <w:sz w:val="14"/>
              </w:rPr>
              <w:t>MULAI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2E7D32"/>
                <w:sz w:val="18"/>
              </w:rPr>
              <w:t>↓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402"/>
              <w:gridCol w:w="3402"/>
              <w:gridCol w:w="3402"/>
            </w:tblGrid>
            <w:tr>
              <w:tc>
                <w:tcPr>
                  <w:tcW w:type="dxa" w:w="2347"/>
                  <w:shd w:val="clear" w:color="auto" w:fill="FFFFFF"/>
                  <w:tcMar>
                    <w:top w:w="40" w:type="dxa"/>
                    <w:bottom w:w="40" w:type="dxa"/>
                    <w:left w:w="60" w:type="dxa"/>
                    <w:right w:w="60" w:type="dxa"/>
                  </w:tcMar>
                  <w:tcBorders>
                    <w:top w:val="single" w:sz="4" w:color="333333" w:space="0"/>
                    <w:left w:val="single" w:sz="4" w:color="333333" w:space="0"/>
                    <w:bottom w:val="single" w:sz="4" w:color="333333" w:space="0"/>
                    <w:right w:val="single" w:sz="4" w:color="333333" w:space="0"/>
                  </w:tcBorders>
                </w:tcPr>
                <w:p>
                  <w:pPr>
                    <w:spacing w:before="0" w:after="0"/>
                  </w:pPr>
                  <w:r>
                    <w:rPr>
                      <w:b/>
                      <w:i w:val="0"/>
                      <w:color w:val="2E7D32"/>
                      <w:sz w:val="11"/>
                    </w:rPr>
                    <w:t>FASE I — AKUISISI</w:t>
                  </w:r>
                </w:p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1A1A1A"/>
                      <w:sz w:val="14"/>
                    </w:rPr>
                    <w:t>Pengumpulan &amp; Kurasi Data</w:t>
                  </w:r>
                </w:p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color w:val="444444"/>
                      <w:sz w:val="13"/>
                    </w:rPr>
                    <w:t>BPS · Minerbaone · BKPM · GEM · GFW  ·  6 provinsi · 2014–2024</w:t>
                  </w:r>
                </w:p>
              </w:tc>
              <w:tc>
                <w:tcPr>
                  <w:tcW w:type="dxa" w:w="408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2E7D32"/>
                      <w:sz w:val="18"/>
                    </w:rPr>
                    <w:t>→</w:t>
                  </w:r>
                </w:p>
              </w:tc>
              <w:tc>
                <w:tcPr>
                  <w:tcW w:type="dxa" w:w="2347"/>
                  <w:shd w:val="clear" w:color="auto" w:fill="FFFFFF"/>
                  <w:tcMar>
                    <w:top w:w="40" w:type="dxa"/>
                    <w:bottom w:w="40" w:type="dxa"/>
                    <w:left w:w="60" w:type="dxa"/>
                    <w:right w:w="60" w:type="dxa"/>
                  </w:tcMar>
                  <w:tcBorders>
                    <w:top w:val="single" w:sz="4" w:color="333333" w:space="0"/>
                    <w:left w:val="single" w:sz="4" w:color="333333" w:space="0"/>
                    <w:bottom w:val="single" w:sz="4" w:color="333333" w:space="0"/>
                    <w:right w:val="single" w:sz="4" w:color="333333" w:space="0"/>
                  </w:tcBorders>
                </w:tcPr>
                <w:p>
                  <w:pPr>
                    <w:spacing w:before="0" w:after="0"/>
                  </w:pPr>
                  <w:r>
                    <w:rPr>
                      <w:b/>
                      <w:i w:val="0"/>
                      <w:color w:val="2E7D32"/>
                      <w:sz w:val="11"/>
                    </w:rPr>
                    <w:t>FASE II — KLASIFIKASI</w:t>
                  </w:r>
                </w:p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1A1A1A"/>
                      <w:sz w:val="14"/>
                    </w:rPr>
                    <w:t>Reklasifikasi Rantai Pasok Hukum</w:t>
                  </w:r>
                </w:p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color w:val="444444"/>
                      <w:sz w:val="13"/>
                    </w:rPr>
                    <w:t>UU 3/2020 · PP 96/2021 · Perpres 112/2022 → 3 klaster makro</w:t>
                  </w:r>
                </w:p>
              </w:tc>
            </w:tr>
            <w:tr>
              <w:tc>
                <w:tcPr>
                  <w:tcW w:type="dxa" w:w="2347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408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2347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2E7D32"/>
                      <w:sz w:val="18"/>
                    </w:rPr>
                    <w:t>↓</w:t>
                  </w:r>
                </w:p>
              </w:tc>
            </w:tr>
            <w:tr>
              <w:tc>
                <w:tcPr>
                  <w:tcW w:type="dxa" w:w="2347"/>
                  <w:shd w:val="clear" w:color="auto" w:fill="FFFFFF"/>
                  <w:tcMar>
                    <w:top w:w="40" w:type="dxa"/>
                    <w:bottom w:w="40" w:type="dxa"/>
                    <w:left w:w="60" w:type="dxa"/>
                    <w:right w:w="60" w:type="dxa"/>
                  </w:tcMar>
                  <w:tcBorders>
                    <w:top w:val="single" w:sz="4" w:color="333333" w:space="0"/>
                    <w:left w:val="single" w:sz="4" w:color="333333" w:space="0"/>
                    <w:bottom w:val="single" w:sz="4" w:color="333333" w:space="0"/>
                    <w:right w:val="single" w:sz="4" w:color="333333" w:space="0"/>
                  </w:tcBorders>
                </w:tcPr>
                <w:p>
                  <w:pPr>
                    <w:spacing w:before="0" w:after="0"/>
                  </w:pPr>
                  <w:r>
                    <w:rPr>
                      <w:b/>
                      <w:i w:val="0"/>
                      <w:color w:val="2E7D32"/>
                      <w:sz w:val="11"/>
                    </w:rPr>
                    <w:t>FASE IV — SINTESIS</w:t>
                  </w:r>
                </w:p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1A1A1A"/>
                      <w:sz w:val="14"/>
                    </w:rPr>
                    <w:t>Pemetaan Rantai Pasok Ekspor</w:t>
                  </w:r>
                </w:p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color w:val="444444"/>
                      <w:sz w:val="13"/>
                    </w:rPr>
                    <w:t>KNKT · Perpres PSN · Kurva Bézier · 6 simpul pelabuhan</w:t>
                  </w:r>
                </w:p>
              </w:tc>
              <w:tc>
                <w:tcPr>
                  <w:tcW w:type="dxa" w:w="408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2E7D32"/>
                      <w:sz w:val="18"/>
                    </w:rPr>
                    <w:t>←</w:t>
                  </w:r>
                </w:p>
              </w:tc>
              <w:tc>
                <w:tcPr>
                  <w:tcW w:type="dxa" w:w="2347"/>
                  <w:shd w:val="clear" w:color="auto" w:fill="FFFFFF"/>
                  <w:tcMar>
                    <w:top w:w="40" w:type="dxa"/>
                    <w:bottom w:w="40" w:type="dxa"/>
                    <w:left w:w="60" w:type="dxa"/>
                    <w:right w:w="60" w:type="dxa"/>
                  </w:tcMar>
                  <w:tcBorders>
                    <w:top w:val="single" w:sz="4" w:color="333333" w:space="0"/>
                    <w:left w:val="single" w:sz="4" w:color="333333" w:space="0"/>
                    <w:bottom w:val="single" w:sz="4" w:color="333333" w:space="0"/>
                    <w:right w:val="single" w:sz="4" w:color="333333" w:space="0"/>
                  </w:tcBorders>
                </w:tcPr>
                <w:p>
                  <w:pPr>
                    <w:spacing w:before="0" w:after="0"/>
                  </w:pPr>
                  <w:r>
                    <w:rPr>
                      <w:b/>
                      <w:i w:val="0"/>
                      <w:color w:val="2E7D32"/>
                      <w:sz w:val="11"/>
                    </w:rPr>
                    <w:t>FASE III — ANALISIS</w:t>
                  </w:r>
                </w:p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1A1A1A"/>
                      <w:sz w:val="14"/>
                    </w:rPr>
                    <w:t>Pengujian Statistik Inferensial</w:t>
                  </w:r>
                </w:p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color w:val="444444"/>
                      <w:sz w:val="13"/>
                    </w:rPr>
                    <w:t>Chi-Square · Odds Ratio · Panel N=60 · Ambang Median</w:t>
                  </w:r>
                </w:p>
              </w:tc>
            </w:tr>
            <w:tr>
              <w:tc>
                <w:tcPr>
                  <w:tcW w:type="dxa" w:w="2347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2E7D32"/>
                      <w:sz w:val="18"/>
                    </w:rPr>
                    <w:t>↓</w:t>
                  </w:r>
                </w:p>
              </w:tc>
              <w:tc>
                <w:tcPr>
                  <w:tcW w:type="dxa" w:w="408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2347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>
            <w:pPr>
              <w:spacing w:before="40" w:after="20"/>
              <w:jc w:val="center"/>
              <w:pBdr>
                <w:top w:val="single" w:sz="8" w:space="2" w:color="1B5E20"/>
                <w:left w:val="single" w:sz="8" w:space="2" w:color="1B5E20"/>
                <w:bottom w:val="single" w:sz="8" w:space="2" w:color="1B5E20"/>
                <w:right w:val="single" w:sz="8" w:space="2" w:color="1B5E20"/>
              </w:pBdr>
              <w:shd w:val="clear" w:color="auto" w:fill="F1F8E9"/>
            </w:pPr>
            <w:r>
              <w:rPr>
                <w:b/>
                <w:i w:val="0"/>
                <w:color w:val="1B5E20"/>
                <w:sz w:val="14"/>
              </w:rPr>
              <w:t>Dominasi Ekstraktif PDRB  ·  Konsentrasi Spasial Industri  ·  Risiko Deforestasi hingga 21× (Signifikan)</w:t>
            </w:r>
          </w:p>
        </w:tc>
        <w:tc>
          <w:tcPr>
            <w:tcW w:type="dxa" w:w="5103"/>
            <w:vAlign w:val="top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150" w:type="dxa"/>
              <w:right w:w="0" w:type="dxa"/>
            </w:tcMar>
          </w:tcPr>
          <w:p>
            <w:pPr>
              <w:spacing w:before="80" w:after="40"/>
              <w:pBdr>
                <w:bottom w:val="single" w:sz="4" w:space="1" w:color="2E7D32"/>
              </w:pBdr>
            </w:pPr>
            <w:r>
              <w:rPr>
                <w:b/>
                <w:i w:val="0"/>
                <w:color w:val="1B5E20"/>
                <w:sz w:val="15"/>
              </w:rPr>
              <w:t>4.  KERANGKA ANALISIS</w:t>
            </w:r>
          </w:p>
          <w:p>
            <w:pPr>
              <w:spacing w:before="70" w:after="20"/>
            </w:pPr>
            <w:r>
              <w:rPr>
                <w:b/>
                <w:i w:val="0"/>
                <w:color w:val="2E7D32"/>
                <w:sz w:val="16"/>
              </w:rPr>
              <w:t>4.1  Reklasifikasi Rantai Pasok Hukum (PDRB)</w:t>
            </w:r>
          </w:p>
          <w:p>
            <w:pPr>
              <w:spacing w:after="60"/>
              <w:jc w:val="both"/>
            </w:pPr>
            <w:r>
              <w:rPr>
                <w:b w:val="0"/>
                <w:i w:val="0"/>
                <w:color w:val="222222"/>
                <w:sz w:val="17"/>
              </w:rPr>
              <w:t xml:space="preserve">Tujuh belas sektor KBLI 2020 direklasifikasi menjadi tiga klaster berbasis mandat hukum: </w:t>
            </w:r>
            <w:r>
              <w:rPr>
                <w:b/>
                <w:i w:val="0"/>
                <w:color w:val="222222"/>
                <w:sz w:val="17"/>
              </w:rPr>
              <w:t>Ekstraktif</w:t>
            </w:r>
            <w:r>
              <w:rPr>
                <w:b w:val="0"/>
                <w:i w:val="0"/>
                <w:color w:val="222222"/>
                <w:sz w:val="17"/>
              </w:rPr>
              <w:t xml:space="preserve"> (pertambangan, smelter, listrik PLTU), </w:t>
            </w:r>
            <w:r>
              <w:rPr>
                <w:b/>
                <w:i w:val="0"/>
                <w:color w:val="222222"/>
                <w:sz w:val="17"/>
              </w:rPr>
              <w:t>Akar Rumput</w:t>
            </w:r>
            <w:r>
              <w:rPr>
                <w:b w:val="0"/>
                <w:i w:val="0"/>
                <w:color w:val="222222"/>
                <w:sz w:val="17"/>
              </w:rPr>
              <w:t xml:space="preserve"> (pertanian-perikanan), dan </w:t>
            </w:r>
            <w:r>
              <w:rPr>
                <w:b/>
                <w:i w:val="0"/>
                <w:color w:val="222222"/>
                <w:sz w:val="17"/>
              </w:rPr>
              <w:t>Jasa &amp; Lainnya</w:t>
            </w:r>
            <w:r>
              <w:rPr>
                <w:b w:val="0"/>
                <w:i w:val="0"/>
                <w:color w:val="222222"/>
                <w:sz w:val="17"/>
              </w:rPr>
              <w:t>. Hasil kunci: klaster ekstraktif menguasai 55,85% PDRB Sulawesi Tengah 2024, tumbuh 7,4× dalam satu dekade.</w:t>
            </w:r>
          </w:p>
          <w:p>
            <w:pPr>
              <w:spacing w:after="60"/>
              <w:ind w:left="80"/>
              <w:shd w:val="clear" w:color="auto" w:fill="EDF7EE"/>
            </w:pPr>
            <w:r>
              <w:rPr>
                <w:rFonts w:ascii="Courier New" w:hAnsi="Courier New"/>
                <w:b w:val="0"/>
                <w:i w:val="0"/>
                <w:color w:val="2E7D32"/>
                <w:sz w:val="15"/>
              </w:rPr>
              <w:t>Pangsa Ekstraktif (%) = ( PDRB Ekstraktif ÷ Total PDRB ) × 100</w:t>
            </w:r>
          </w:p>
          <w:p>
            <w:pPr>
              <w:spacing w:before="70" w:after="20"/>
            </w:pPr>
            <w:r>
              <w:rPr>
                <w:b/>
                <w:i w:val="0"/>
                <w:color w:val="2E7D32"/>
                <w:sz w:val="16"/>
              </w:rPr>
              <w:t>4.2  Dekomposisi Spasial Kabupaten</w:t>
            </w:r>
          </w:p>
          <w:p>
            <w:pPr>
              <w:spacing w:after="60"/>
              <w:jc w:val="both"/>
            </w:pPr>
            <w:r>
              <w:rPr>
                <w:b w:val="0"/>
                <w:i w:val="0"/>
                <w:color w:val="222222"/>
                <w:sz w:val="17"/>
              </w:rPr>
              <w:t xml:space="preserve">Pemecahan PDRB ke level 13 kabupaten/kota membongkar </w:t>
            </w:r>
            <w:r>
              <w:rPr>
                <w:b w:val="0"/>
                <w:i/>
                <w:color w:val="222222"/>
                <w:sz w:val="17"/>
              </w:rPr>
              <w:t>bias ilusi agregat</w:t>
            </w:r>
            <w:r>
              <w:rPr>
                <w:b w:val="0"/>
                <w:i w:val="0"/>
                <w:color w:val="222222"/>
                <w:sz w:val="17"/>
              </w:rPr>
              <w:t>: sektor ekstraktif Morowali (Rp157,17 T) melampaui gabungan 8 kabupaten non-sentra, sementara pertanian rakyatnya tersisa 0,78%.</w:t>
            </w:r>
          </w:p>
          <w:p>
            <w:pPr>
              <w:spacing w:after="60"/>
              <w:ind w:left="80"/>
              <w:shd w:val="clear" w:color="auto" w:fill="EDF7EE"/>
            </w:pPr>
            <w:r>
              <w:rPr>
                <w:rFonts w:ascii="Courier New" w:hAnsi="Courier New"/>
                <w:b w:val="0"/>
                <w:i w:val="0"/>
                <w:color w:val="2E7D32"/>
                <w:sz w:val="15"/>
              </w:rPr>
              <w:t>Rasio Kesenjangan = Ekstraktif ÷ Pertanian Rakyat = 58,21× (Morowali)</w:t>
            </w:r>
          </w:p>
          <w:p>
            <w:pPr>
              <w:spacing w:before="70" w:after="20"/>
            </w:pPr>
            <w:r>
              <w:rPr>
                <w:b/>
                <w:i w:val="0"/>
                <w:color w:val="2E7D32"/>
                <w:sz w:val="16"/>
              </w:rPr>
              <w:t>4.3  Konsentrasi Kawasan Industri &amp; PLTU Captive</w:t>
            </w:r>
          </w:p>
          <w:p>
            <w:pPr>
              <w:spacing w:after="60"/>
              <w:jc w:val="both"/>
            </w:pPr>
            <w:r>
              <w:rPr>
                <w:b w:val="0"/>
                <w:i w:val="0"/>
                <w:color w:val="222222"/>
                <w:sz w:val="17"/>
              </w:rPr>
              <w:t xml:space="preserve">Analisis spasial deskriptif memetakan pemusatan </w:t>
            </w:r>
            <w:r>
              <w:rPr>
                <w:b/>
                <w:i w:val="0"/>
                <w:color w:val="222222"/>
                <w:sz w:val="17"/>
              </w:rPr>
              <w:t>778 smelter</w:t>
            </w:r>
            <w:r>
              <w:rPr>
                <w:b w:val="0"/>
                <w:i w:val="0"/>
                <w:color w:val="222222"/>
                <w:sz w:val="17"/>
              </w:rPr>
              <w:t xml:space="preserve"> dan </w:t>
            </w:r>
            <w:r>
              <w:rPr>
                <w:b/>
                <w:i w:val="0"/>
                <w:color w:val="222222"/>
                <w:sz w:val="17"/>
              </w:rPr>
              <w:t>9.825 MW PLTU captive batu bara off-grid</w:t>
            </w:r>
            <w:r>
              <w:rPr>
                <w:b w:val="0"/>
                <w:i w:val="0"/>
                <w:color w:val="222222"/>
                <w:sz w:val="17"/>
              </w:rPr>
              <w:t xml:space="preserve"> — 89,06% daya terkunci hanya di koridor Morowali–Konawe.</w:t>
            </w:r>
          </w:p>
          <w:p>
            <w:pPr>
              <w:spacing w:after="60"/>
              <w:ind w:left="80"/>
              <w:shd w:val="clear" w:color="auto" w:fill="EDF7EE"/>
            </w:pPr>
            <w:r>
              <w:rPr>
                <w:rFonts w:ascii="Courier New" w:hAnsi="Courier New"/>
                <w:b w:val="0"/>
                <w:i w:val="0"/>
                <w:color w:val="2E7D32"/>
                <w:sz w:val="15"/>
              </w:rPr>
              <w:t>Porsi Konsentrasi (%) = ( Kapasitas Sentra ÷ Total Sulawesi ) × 100</w:t>
            </w:r>
          </w:p>
          <w:p>
            <w:pPr>
              <w:spacing w:before="70" w:after="20"/>
            </w:pPr>
            <w:r>
              <w:rPr>
                <w:b/>
                <w:i w:val="0"/>
                <w:color w:val="2E7D32"/>
                <w:sz w:val="16"/>
              </w:rPr>
              <w:t>4.4  Tren Perizinan &amp; Laju Alih Ruang</w:t>
            </w:r>
          </w:p>
          <w:p>
            <w:pPr>
              <w:spacing w:after="60"/>
              <w:jc w:val="both"/>
            </w:pPr>
            <w:r>
              <w:rPr>
                <w:b w:val="0"/>
                <w:i w:val="0"/>
                <w:color w:val="222222"/>
                <w:sz w:val="17"/>
              </w:rPr>
              <w:t xml:space="preserve">Deret waktu </w:t>
            </w:r>
            <w:r>
              <w:rPr>
                <w:b/>
                <w:i w:val="0"/>
                <w:color w:val="222222"/>
                <w:sz w:val="17"/>
              </w:rPr>
              <w:t>574 IUP baru (819.452 Ha)</w:t>
            </w:r>
            <w:r>
              <w:rPr>
                <w:b w:val="0"/>
                <w:i w:val="0"/>
                <w:color w:val="222222"/>
                <w:sz w:val="17"/>
              </w:rPr>
              <w:t xml:space="preserve"> dianalisis dengan laju pertumbuhan tahunan — melonjak +246% pada 2022–2024 — lalu dikonversi menjadi laju alih fungsi ruang harian.</w:t>
            </w:r>
          </w:p>
          <w:p>
            <w:pPr>
              <w:spacing w:after="60"/>
              <w:ind w:left="80"/>
              <w:shd w:val="clear" w:color="auto" w:fill="EDF7EE"/>
            </w:pPr>
            <w:r>
              <w:rPr>
                <w:rFonts w:ascii="Courier New" w:hAnsi="Courier New"/>
                <w:b w:val="0"/>
                <w:i w:val="0"/>
                <w:color w:val="2E7D32"/>
                <w:sz w:val="15"/>
              </w:rPr>
              <w:t>Laju Alih Ruang = 819.452,54 Ha ÷ 3.650 Hari = 224,51 Ha/Hari</w:t>
            </w:r>
          </w:p>
          <w:p>
            <w:pPr>
              <w:spacing w:before="70" w:after="20"/>
            </w:pPr>
            <w:r>
              <w:rPr>
                <w:b/>
                <w:i w:val="0"/>
                <w:color w:val="2E7D32"/>
                <w:sz w:val="16"/>
              </w:rPr>
              <w:t>4.5  Tabulasi Silang &amp; Uji Hipotesis</w:t>
            </w:r>
          </w:p>
          <w:p>
            <w:pPr>
              <w:spacing w:after="60"/>
              <w:jc w:val="both"/>
            </w:pPr>
            <w:r>
              <w:rPr>
                <w:b w:val="0"/>
                <w:i w:val="0"/>
                <w:color w:val="222222"/>
                <w:sz w:val="17"/>
              </w:rPr>
              <w:t xml:space="preserve">Panel provinsi-tahun (N=60) dikategorikan Tinggi/Rendah pada </w:t>
            </w:r>
            <w:r>
              <w:rPr>
                <w:b/>
                <w:i w:val="0"/>
                <w:color w:val="222222"/>
                <w:sz w:val="17"/>
              </w:rPr>
              <w:t>ambang median</w:t>
            </w:r>
            <w:r>
              <w:rPr>
                <w:b w:val="0"/>
                <w:i w:val="0"/>
                <w:color w:val="222222"/>
                <w:sz w:val="17"/>
              </w:rPr>
              <w:t xml:space="preserve">, lalu diuji </w:t>
            </w:r>
            <w:r>
              <w:rPr>
                <w:b/>
                <w:i w:val="0"/>
                <w:color w:val="222222"/>
                <w:sz w:val="17"/>
              </w:rPr>
              <w:t>Chi-Square independensi</w:t>
            </w:r>
            <w:r>
              <w:rPr>
                <w:b w:val="0"/>
                <w:i w:val="0"/>
                <w:color w:val="222222"/>
                <w:sz w:val="17"/>
              </w:rPr>
              <w:t xml:space="preserve"> (α = 5%) dan </w:t>
            </w:r>
            <w:r>
              <w:rPr>
                <w:b/>
                <w:i w:val="0"/>
                <w:color w:val="222222"/>
                <w:sz w:val="17"/>
              </w:rPr>
              <w:t>odds ratio</w:t>
            </w:r>
            <w:r>
              <w:rPr>
                <w:b w:val="0"/>
                <w:i w:val="0"/>
                <w:color w:val="222222"/>
                <w:sz w:val="17"/>
              </w:rPr>
              <w:t xml:space="preserve"> untuk mengukur arah serta kelipatan risiko tekanan industri terhadap deforestasi.</w:t>
            </w:r>
          </w:p>
          <w:p>
            <w:pPr>
              <w:spacing w:after="60"/>
              <w:ind w:left="80"/>
              <w:shd w:val="clear" w:color="auto" w:fill="EDF7EE"/>
            </w:pPr>
            <w:r>
              <w:rPr>
                <w:rFonts w:ascii="Courier New" w:hAnsi="Courier New"/>
                <w:b w:val="0"/>
                <w:i w:val="0"/>
                <w:color w:val="2E7D32"/>
                <w:sz w:val="15"/>
              </w:rPr>
              <w:t>χ² = Jumlah( (Observasi − Harapan)² ÷ Harapan )   ·   OR = (a×d) ÷ (b×c)</w:t>
            </w: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551"/>
              <w:gridCol w:w="2551"/>
              <w:gridCol w:w="2551"/>
              <w:gridCol w:w="2551"/>
            </w:tblGrid>
            <w:tr>
              <w:tc>
                <w:tcPr>
                  <w:tcW w:type="dxa" w:w="2041"/>
                  <w:shd w:val="clear" w:color="auto" w:fill="2E7D32"/>
                </w:tcPr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FFFFFF"/>
                      <w:sz w:val="14"/>
                    </w:rPr>
                    <w:t>Skenario Uji (X → Y)</w:t>
                  </w:r>
                </w:p>
              </w:tc>
              <w:tc>
                <w:tcPr>
                  <w:tcW w:type="dxa" w:w="567"/>
                  <w:shd w:val="clear" w:color="auto" w:fill="2E7D32"/>
                </w:tcPr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FFFFFF"/>
                      <w:sz w:val="14"/>
                    </w:rPr>
                    <w:t>χ²</w:t>
                  </w:r>
                </w:p>
              </w:tc>
              <w:tc>
                <w:tcPr>
                  <w:tcW w:type="dxa" w:w="567"/>
                  <w:shd w:val="clear" w:color="auto" w:fill="2E7D32"/>
                </w:tcPr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FFFFFF"/>
                      <w:sz w:val="14"/>
                    </w:rPr>
                    <w:t>OR</w:t>
                  </w:r>
                </w:p>
              </w:tc>
              <w:tc>
                <w:tcPr>
                  <w:tcW w:type="dxa" w:w="1247"/>
                  <w:shd w:val="clear" w:color="auto" w:fill="2E7D32"/>
                </w:tcPr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FFFFFF"/>
                      <w:sz w:val="14"/>
                    </w:rPr>
                    <w:t>Hasil</w:t>
                  </w:r>
                </w:p>
              </w:tc>
            </w:tr>
            <w:tr>
              <w:tc>
                <w:tcPr>
                  <w:tcW w:type="dxa" w:w="2041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PLTU Captive → Deforestasi</w:t>
                  </w:r>
                </w:p>
              </w:tc>
              <w:tc>
                <w:tcPr>
                  <w:tcW w:type="dxa" w:w="567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18,05</w:t>
                  </w:r>
                </w:p>
              </w:tc>
              <w:tc>
                <w:tcPr>
                  <w:tcW w:type="dxa" w:w="567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18,0×</w:t>
                  </w:r>
                </w:p>
              </w:tc>
              <w:tc>
                <w:tcPr>
                  <w:tcW w:type="dxa" w:w="1247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Signifikan</w:t>
                  </w:r>
                </w:p>
              </w:tc>
            </w:tr>
            <w:tr>
              <w:tc>
                <w:tcPr>
                  <w:tcW w:type="dxa" w:w="2041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IUP Baru → Deforestasi Alam</w:t>
                  </w:r>
                </w:p>
              </w:tc>
              <w:tc>
                <w:tcPr>
                  <w:tcW w:type="dxa" w:w="567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17,24</w:t>
                  </w:r>
                </w:p>
              </w:tc>
              <w:tc>
                <w:tcPr>
                  <w:tcW w:type="dxa" w:w="567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13,8×</w:t>
                  </w:r>
                </w:p>
              </w:tc>
              <w:tc>
                <w:tcPr>
                  <w:tcW w:type="dxa" w:w="1247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Signifikan</w:t>
                  </w:r>
                </w:p>
              </w:tc>
            </w:tr>
            <w:tr>
              <w:tc>
                <w:tcPr>
                  <w:tcW w:type="dxa" w:w="2041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IUP Baru → Def. Komoditas</w:t>
                  </w:r>
                </w:p>
              </w:tc>
              <w:tc>
                <w:tcPr>
                  <w:tcW w:type="dxa" w:w="567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21,82</w:t>
                  </w:r>
                </w:p>
              </w:tc>
              <w:tc>
                <w:tcPr>
                  <w:tcW w:type="dxa" w:w="567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21,4×</w:t>
                  </w:r>
                </w:p>
              </w:tc>
              <w:tc>
                <w:tcPr>
                  <w:tcW w:type="dxa" w:w="1247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Signifikan</w:t>
                  </w:r>
                </w:p>
              </w:tc>
            </w:tr>
            <w:tr>
              <w:tc>
                <w:tcPr>
                  <w:tcW w:type="dxa" w:w="2041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Luas Konsesi → Def. Komoditas</w:t>
                  </w:r>
                </w:p>
              </w:tc>
              <w:tc>
                <w:tcPr>
                  <w:tcW w:type="dxa" w:w="567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19,27</w:t>
                  </w:r>
                </w:p>
              </w:tc>
              <w:tc>
                <w:tcPr>
                  <w:tcW w:type="dxa" w:w="567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16,0×</w:t>
                  </w:r>
                </w:p>
              </w:tc>
              <w:tc>
                <w:tcPr>
                  <w:tcW w:type="dxa" w:w="1247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Signifikan</w:t>
                  </w:r>
                </w:p>
              </w:tc>
            </w:tr>
            <w:tr>
              <w:tc>
                <w:tcPr>
                  <w:tcW w:type="dxa" w:w="2041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PMDN → Def. Komoditas</w:t>
                  </w:r>
                </w:p>
              </w:tc>
              <w:tc>
                <w:tcPr>
                  <w:tcW w:type="dxa" w:w="567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2,08</w:t>
                  </w:r>
                </w:p>
              </w:tc>
              <w:tc>
                <w:tcPr>
                  <w:tcW w:type="dxa" w:w="567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2,8×</w:t>
                  </w:r>
                </w:p>
              </w:tc>
              <w:tc>
                <w:tcPr>
                  <w:tcW w:type="dxa" w:w="1247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Tidak (time-lag)</w:t>
                  </w:r>
                </w:p>
              </w:tc>
            </w:tr>
          </w:tbl>
          <w:p>
            <w:pPr>
              <w:spacing w:before="70" w:after="20"/>
            </w:pPr>
            <w:r>
              <w:rPr>
                <w:b/>
                <w:i w:val="0"/>
                <w:color w:val="2E7D32"/>
                <w:sz w:val="16"/>
              </w:rPr>
              <w:t>4.6  Pemetaan Rantai Pasok Logistik Ekspor</w:t>
            </w:r>
          </w:p>
          <w:p>
            <w:pPr>
              <w:spacing w:after="60"/>
              <w:jc w:val="both"/>
            </w:pPr>
            <w:r>
              <w:rPr>
                <w:b w:val="0"/>
                <w:i w:val="0"/>
                <w:color w:val="222222"/>
                <w:sz w:val="17"/>
              </w:rPr>
              <w:t xml:space="preserve">Enam simpul pelabuhan ekspor nikel diverifikasi melalui triangulasi </w:t>
            </w:r>
            <w:r>
              <w:rPr>
                <w:b/>
                <w:i w:val="0"/>
                <w:color w:val="222222"/>
                <w:sz w:val="17"/>
              </w:rPr>
              <w:t>Laporan KNKT, regulasi PSN (Perpres 109/2020), dan laporan emiten</w:t>
            </w:r>
            <w:r>
              <w:rPr>
                <w:b w:val="0"/>
                <w:i w:val="0"/>
                <w:color w:val="222222"/>
                <w:sz w:val="17"/>
              </w:rPr>
              <w:t>; alur pelayaran menuju Tiongkok–Jepang–Korea (&gt;78% kargo) dimodelkan dengan kurva Bézier di permukaan bumi.</w:t>
            </w:r>
          </w:p>
          <w:p>
            <w:pPr>
              <w:spacing w:before="80" w:after="40"/>
              <w:pBdr>
                <w:bottom w:val="single" w:sz="4" w:space="1" w:color="2E7D32"/>
              </w:pBdr>
            </w:pPr>
            <w:r>
              <w:rPr>
                <w:b/>
                <w:i w:val="0"/>
                <w:color w:val="1B5E20"/>
                <w:sz w:val="15"/>
              </w:rPr>
              <w:t>5.  KORESPONDENSI SUB-BAB — METODE</w:t>
            </w: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5103"/>
              <w:gridCol w:w="5103"/>
            </w:tblGrid>
            <w:tr>
              <w:tc>
                <w:tcPr>
                  <w:tcW w:type="dxa" w:w="1644"/>
                  <w:shd w:val="clear" w:color="auto" w:fill="2E7D32"/>
                </w:tcPr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FFFFFF"/>
                      <w:sz w:val="14"/>
                    </w:rPr>
                    <w:t>Sub-bab</w:t>
                  </w:r>
                </w:p>
              </w:tc>
              <w:tc>
                <w:tcPr>
                  <w:tcW w:type="dxa" w:w="2778"/>
                  <w:shd w:val="clear" w:color="auto" w:fill="2E7D32"/>
                </w:tcPr>
                <w:p>
                  <w:pPr>
                    <w:spacing w:before="20" w:after="20"/>
                  </w:pPr>
                  <w:r>
                    <w:rPr>
                      <w:b/>
                      <w:i w:val="0"/>
                      <w:color w:val="FFFFFF"/>
                      <w:sz w:val="14"/>
                    </w:rPr>
                    <w:t>Metode Utama</w:t>
                  </w:r>
                </w:p>
              </w:tc>
            </w:tr>
            <w:tr>
              <w:tc>
                <w:tcPr>
                  <w:tcW w:type="dxa" w:w="1644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1.1 Konteks Makro PDRB</w:t>
                  </w:r>
                </w:p>
              </w:tc>
              <w:tc>
                <w:tcPr>
                  <w:tcW w:type="dxa" w:w="2778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Reklasifikasi hukum, pangsa sektor, laju pertumbuhan</w:t>
                  </w:r>
                </w:p>
              </w:tc>
            </w:tr>
            <w:tr>
              <w:tc>
                <w:tcPr>
                  <w:tcW w:type="dxa" w:w="1644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1.2 Kawasan Industri &amp; PLTU</w:t>
                  </w:r>
                </w:p>
              </w:tc>
              <w:tc>
                <w:tcPr>
                  <w:tcW w:type="dxa" w:w="2778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Analisis spasial, crosstab χ², odds ratio</w:t>
                  </w:r>
                </w:p>
              </w:tc>
            </w:tr>
            <w:tr>
              <w:tc>
                <w:tcPr>
                  <w:tcW w:type="dxa" w:w="1644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1.3 Tren Izin Tambang</w:t>
                  </w:r>
                </w:p>
              </w:tc>
              <w:tc>
                <w:tcPr>
                  <w:tcW w:type="dxa" w:w="2778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Deret waktu, laju alih ruang, uji signifikansi</w:t>
                  </w:r>
                </w:p>
              </w:tc>
            </w:tr>
            <w:tr>
              <w:tc>
                <w:tcPr>
                  <w:tcW w:type="dxa" w:w="1644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1.4 Investasi PMDN</w:t>
                  </w:r>
                </w:p>
              </w:tc>
              <w:tc>
                <w:tcPr>
                  <w:tcW w:type="dxa" w:w="2778"/>
                  <w:shd w:val="clear" w:color="auto" w:fill="FFFFFF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Konsentrasi modal, atribusi driver deforestasi</w:t>
                  </w:r>
                </w:p>
              </w:tc>
            </w:tr>
            <w:tr>
              <w:tc>
                <w:tcPr>
                  <w:tcW w:type="dxa" w:w="1644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1.5–1.6 Logistik Nikel</w:t>
                  </w:r>
                </w:p>
              </w:tc>
              <w:tc>
                <w:tcPr>
                  <w:tcW w:type="dxa" w:w="2778"/>
                  <w:shd w:val="clear" w:color="auto" w:fill="F5FBF5"/>
                </w:tcPr>
                <w:p>
                  <w:pPr>
                    <w:spacing w:before="20" w:after="20"/>
                  </w:pPr>
                  <w:r>
                    <w:rPr>
                      <w:b w:val="0"/>
                      <w:i w:val="0"/>
                      <w:color w:val="222222"/>
                      <w:sz w:val="14"/>
                    </w:rPr>
                    <w:t>Triangulasi dokumen, kurva Bézier, pemetaan rute</w:t>
                  </w:r>
                </w:p>
              </w:tc>
            </w:tr>
          </w:tbl>
          <w:p>
            <w:pPr>
              <w:spacing w:after="40"/>
              <w:ind w:left="160"/>
              <w:pBdr>
                <w:left w:val="single" w:sz="12" w:space="4" w:color="2E7D32"/>
              </w:pBdr>
              <w:shd w:val="clear" w:color="auto" w:fill="F1F8E9"/>
            </w:pPr>
            <w:r>
              <w:rPr>
                <w:b w:val="0"/>
                <w:i/>
                <w:color w:val="555555"/>
                <w:sz w:val="15"/>
              </w:rPr>
              <w:t>Seluruh prosedur statistik diterapkan pada data panel provinsi-tahun (N = 60; 6 provinsi × 10 tahun) kecuali dinyatakan lain. Angka empiris lengkap per indikator tersaji pada dokumen metodologi utuh Bab 1 (diolah CELIOS).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