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3: METODOLOGI ANALISIS BEBAN KESEHATAN MASYARAKAT TERDAMPAK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Studi Daya Dukung &amp; Daya Tampung Lingkungan Hidup (D3TLH) Sulawesi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ini menggunakan </w:t>
      </w:r>
      <w:r>
        <w:rPr>
          <w:rFonts w:ascii="Calibri" w:hAnsi="Calibri"/>
          <w:b/>
          <w:i w:val="0"/>
          <w:color w:val="222222"/>
          <w:sz w:val="17"/>
        </w:rPr>
        <w:t>desain epidemiologi lingkungan dan audit spasial-statistik kuantitatif terintegrasi</w:t>
      </w:r>
      <w:r>
        <w:rPr>
          <w:rFonts w:ascii="Calibri" w:hAnsi="Calibri"/>
          <w:b w:val="0"/>
          <w:i w:val="0"/>
          <w:color w:val="222222"/>
          <w:sz w:val="17"/>
        </w:rPr>
        <w:t xml:space="preserve"> untuk mengukur beban morbiditas kesehatan masyarakat, defisit fasilitas layanan kesehatan, serta paparan eksternalitas limbah beracun di enam provinsi Pulau Sulawesi sepanjang satu dekade (</w:t>
      </w:r>
      <w:r>
        <w:rPr>
          <w:rFonts w:ascii="Calibri" w:hAnsi="Calibri"/>
          <w:b/>
          <w:i w:val="0"/>
          <w:color w:val="222222"/>
          <w:sz w:val="17"/>
        </w:rPr>
        <w:t>2014–2024</w:t>
      </w:r>
      <w:r>
        <w:rPr>
          <w:rFonts w:ascii="Calibri" w:hAnsi="Calibri"/>
          <w:b w:val="0"/>
          <w:i w:val="0"/>
          <w:color w:val="222222"/>
          <w:sz w:val="17"/>
        </w:rPr>
        <w:t>). Tiga tujuan utama metodologis Bab 3 meliputi: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Membuktikan Disparitas Fasilitas &amp; Morbiditas Kesehatan: </w:t>
      </w:r>
      <w:r>
        <w:rPr>
          <w:rFonts w:ascii="Calibri" w:hAnsi="Calibri"/>
          <w:b w:val="0"/>
          <w:i w:val="0"/>
          <w:color w:val="222222"/>
          <w:sz w:val="17"/>
        </w:rPr>
        <w:t>Mengevaluasi kesenjangan rasio ketersediaan faskes (Puskesmas vs Rumah Sakit) dan membandingkan rata-rata beban penyakit pernapasan (ISPA) serta pencernaan (Diare) antara provinsi Sentra Industri nikel vs Non-Sentra.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Analisis Inferensial Panel &amp; Dinamika Zoonosis Tapak: </w:t>
      </w:r>
      <w:r>
        <w:rPr>
          <w:rFonts w:ascii="Calibri" w:hAnsi="Calibri"/>
          <w:b w:val="0"/>
          <w:i w:val="0"/>
          <w:color w:val="222222"/>
          <w:sz w:val="17"/>
        </w:rPr>
        <w:t>Menguji signifikansi korelasi antara penurunan indeks kualitas lingkungan (IKU &amp; IKA) terhadap lonjakan kasus penyakit melalui uji Chi-Square dan Odds Ratio, serta mengisolasi anomali vektor zoonosis di kabupaten lingkar tambang.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Validasi Toksisitas Dua Lensa &amp; Neraca Limbah B3: </w:t>
      </w:r>
      <w:r>
        <w:rPr>
          <w:rFonts w:ascii="Calibri" w:hAnsi="Calibri"/>
          <w:b w:val="0"/>
          <w:i w:val="0"/>
          <w:color w:val="222222"/>
          <w:sz w:val="17"/>
        </w:rPr>
        <w:t>Memadukan analisis makro provinsi dengan pembuktian klinis mikroskopis logam berat karsinogenik Kromium Heksavalen (Cr6+) di muara tambang, serta mengagregasi timbulan 32,8 juta ton limbah B3 slag dan tailing HPAL.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mencakup analisis lintas provinsi pada </w:t>
      </w:r>
      <w:r>
        <w:rPr>
          <w:rFonts w:ascii="Calibri" w:hAnsi="Calibri"/>
          <w:b/>
          <w:i w:val="0"/>
          <w:color w:val="222222"/>
          <w:sz w:val="17"/>
        </w:rPr>
        <w:t>6 provinsi Pulau Sulawesi</w:t>
      </w:r>
      <w:r>
        <w:rPr>
          <w:rFonts w:ascii="Calibri" w:hAnsi="Calibri"/>
          <w:b w:val="0"/>
          <w:i w:val="0"/>
          <w:color w:val="222222"/>
          <w:sz w:val="17"/>
        </w:rPr>
        <w:t xml:space="preserve"> (Sulawesi Tengah, Sulawesi Tenggara, Sulawesi Selatan, Sulawesi Barat, Gorontalo, Sulawesi Utara) serta </w:t>
      </w:r>
      <w:r>
        <w:rPr>
          <w:rFonts w:ascii="Calibri" w:hAnsi="Calibri"/>
          <w:b/>
          <w:i w:val="0"/>
          <w:color w:val="222222"/>
          <w:sz w:val="17"/>
        </w:rPr>
        <w:t>deep-dive case study tingkat kabupaten/distrik lingkar industri</w:t>
      </w:r>
      <w:r>
        <w:rPr>
          <w:rFonts w:ascii="Calibri" w:hAnsi="Calibri"/>
          <w:b w:val="0"/>
          <w:i w:val="0"/>
          <w:color w:val="222222"/>
          <w:sz w:val="17"/>
        </w:rPr>
        <w:t xml:space="preserve"> (Morowali, Morowali Utara, Banggai, Konawe, Bantaeng). Data dihimpun dari sumber data primer resmi kementerian, dinas kesehatan daerah, registri BPS, dan audit laboratorium independen: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Badan Pusat Statistik (BPS) &amp; Kementerian Kesehatan RI: </w:t>
      </w:r>
      <w:r>
        <w:rPr>
          <w:rFonts w:ascii="Calibri" w:hAnsi="Calibri"/>
          <w:b w:val="0"/>
          <w:i w:val="0"/>
          <w:color w:val="222222"/>
          <w:sz w:val="17"/>
        </w:rPr>
        <w:t>Registri unit fasilitas kesehatan (Puskesmas dan Rumah Sakit) serta sensus populasi denominator per kapita.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Dinas Kesehatan Provinsi Se-Sulawesi (Profil Kesehatan 2014–2024): </w:t>
      </w:r>
      <w:r>
        <w:rPr>
          <w:rFonts w:ascii="Calibri" w:hAnsi="Calibri"/>
          <w:b w:val="0"/>
          <w:i w:val="0"/>
          <w:color w:val="222222"/>
          <w:sz w:val="17"/>
        </w:rPr>
        <w:t>Data time-series insidensi penyakit ISPA/Pneumonia, Diare terlayani, Malaria, DBD, Filariasis, dan Rabies.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Lingkungan Hidup dan Kehutanan (Ditjen PPKL): </w:t>
      </w:r>
      <w:r>
        <w:rPr>
          <w:rFonts w:ascii="Calibri" w:hAnsi="Calibri"/>
          <w:b w:val="0"/>
          <w:i w:val="0"/>
          <w:color w:val="222222"/>
          <w:sz w:val="17"/>
        </w:rPr>
        <w:t>Indeks Kualitas Udara (IKU) dan Indeks Kualitas Air (IKA) time-series panel provinsi-tahun (2015–2024).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Audit Fisik Laboratorium Independen (AEER &amp; WALHI): </w:t>
      </w:r>
      <w:r>
        <w:rPr>
          <w:rFonts w:ascii="Calibri" w:hAnsi="Calibri"/>
          <w:b w:val="0"/>
          <w:i w:val="0"/>
          <w:color w:val="222222"/>
          <w:sz w:val="17"/>
        </w:rPr>
        <w:t>Uji konsentrasi Kromium Heksavalen (Cr6+ dalam satuan mg/L) pada 12 titik sampling sungai dan pesisir lingkar smelter.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Registri Audit Limbah B3 (KLHK, AEER, WALHI, JATAM): </w:t>
      </w:r>
      <w:r>
        <w:rPr>
          <w:rFonts w:ascii="Calibri" w:hAnsi="Calibri"/>
          <w:b w:val="0"/>
          <w:i w:val="0"/>
          <w:color w:val="222222"/>
          <w:sz w:val="17"/>
        </w:rPr>
        <w:t>Neraca timbulan terak slag nikel, tailing HPAL (asam sulfat), air limbah tambang, dan limbah EAF per fasilitas mayor industri.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Seluruh variabel kesehatan masyarakat, kualitas sanitasi, toksisitas klinis, dan limbah industri dioperasionalkan ke dalam </w:t>
      </w:r>
      <w:r>
        <w:rPr>
          <w:rFonts w:ascii="Calibri" w:hAnsi="Calibri"/>
          <w:b/>
          <w:i w:val="0"/>
          <w:color w:val="222222"/>
          <w:sz w:val="17"/>
        </w:rPr>
        <w:t>10 indikator empiris terpadu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09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Indikator Riset</w:t>
            </w:r>
          </w:p>
        </w:tc>
        <w:tc>
          <w:tcPr>
            <w:tcW w:type="dxa" w:w="21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Pengukuran</w:t>
            </w:r>
          </w:p>
        </w:tc>
        <w:tc>
          <w:tcPr>
            <w:tcW w:type="dxa" w:w="1020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Satuan</w:t>
            </w:r>
          </w:p>
        </w:tc>
        <w:tc>
          <w:tcPr>
            <w:tcW w:type="dxa" w:w="107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Periode</w:t>
            </w:r>
          </w:p>
        </w:tc>
        <w:tc>
          <w:tcPr>
            <w:tcW w:type="dxa" w:w="2835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209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Ketersediaan Fasilitas Kesehatan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Rumah Sakit &amp; Puskesmas per Zona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Unit Faskes</w:t>
            </w:r>
          </w:p>
        </w:tc>
        <w:tc>
          <w:tcPr>
            <w:tcW w:type="dxa" w:w="107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BPS &amp; Kemenkes RI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09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Penyakit ISPA / Pneumonia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Morbiditas Saluran Pernapasan Akut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Absolut</w:t>
            </w: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2014–2024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Dinas Kesehatan Provinsi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09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Kasus Diare Terlayani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Morbiditas Saluran Pencernaan &amp; Sanitasi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Absolut</w:t>
            </w:r>
          </w:p>
        </w:tc>
        <w:tc>
          <w:tcPr>
            <w:tcW w:type="dxa" w:w="107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2014–2024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Dinas Kesehatan Provinsi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09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Tingkat Insidensi per Kapita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Normalisasi Beban Penyakit terhadap Populasi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/ 10.000 Jiwa</w:t>
            </w: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2014–2024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Dinkes &amp; Populasi BPS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09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Indeks Kualitas Udara (IKU)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Kondisi Baku Mutu Udara Ambien Agregat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Poin Skor (0–100)</w:t>
            </w:r>
          </w:p>
        </w:tc>
        <w:tc>
          <w:tcPr>
            <w:tcW w:type="dxa" w:w="107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2015–2024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Ditjen PPKL KLHK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09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Indeks Kualitas Air (IKA)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Kondisi Baku Mutu Air Sungai &amp; DAS Agregat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Poin Skor (0–100)</w:t>
            </w: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2016–2024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Ditjen PPKL KLHK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09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Prevalensi Vektor Zoonosis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Insidensi DBD, Malaria, &amp; Filariasis Tapak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/ Distrik</w:t>
            </w:r>
          </w:p>
        </w:tc>
        <w:tc>
          <w:tcPr>
            <w:tcW w:type="dxa" w:w="107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2015–2024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Dinkes Sulteng (Tapak)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209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Kadar Kromium Heksavalen (Cr6+)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Toksisitas Logam Berat Karsinogenik Tapak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mg / Liter</w:t>
            </w: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2022–2024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Uji Lab AEER &amp; WALHI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209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Timbulan Limbah B3 Industri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Volume Residu Slag &amp; Tailing HPAL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Juta Ton / Tahun</w:t>
            </w:r>
          </w:p>
        </w:tc>
        <w:tc>
          <w:tcPr>
            <w:tcW w:type="dxa" w:w="107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2024–2025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KLHK, AEER, WALHI, JATAM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209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Dinamika Spasial Before-After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Pergeseran Spasial Morbiditas Ekologis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Pertumbuhan (%)</w:t>
            </w: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2015 vs 2024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GeoJSON &amp; Profil Dinkes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3.1 Kesenjangan Fasilitas Kesehatan di Kawasan Ekstraktif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Kesenjangan fasilitas pelayanan kesehatan dianalisis melalui segmentasi cross-sectional per jenis fasilitas (Puskesmas vs Rumah Sakit) antara zona sentra industri ekstraktif dan zona non-sentra: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Rata-rata Faskes (F̄_z,j) = [ Σ F_p,j ] / n_z   ;   Rasio Disparitas (D_j) = F̄_Sentra,j / F̄_Non-Sentra,j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3.2 Ketimpangan Beban Penyakit: Sentra Industri vs Non-Sentra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Komparasi beban morbiditas penyakit pernapasan dan pencernaan dihitung guna mengukur disparitas kelipatan risiko kesehatan pada provinsi lingkar hilirisasi: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Beban Rata-rata (B̄_z) = [ Σ B_p,t ] / N_z   ;   Kelipatan Disparitas (Q) = B̄_Sentra / B̄_Non-Sentra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3.3 Lintasan Waktu Ekologis &amp; Dinamika Penyakit di Kawasan Industri Ekstraktif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Normalisasi beban penyakit per 10.000 penduduk dan protokol pengujian independensi Chi-Square (χ²) tabulasi silang diterapkan pada matriks panel provinsi-tahun berbasis ambang batas median spesifik provinsi: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Insiden_10K = ( Kasus_p,t / Populasi_p ) × 10.000   ;   χ² = Σ [ ( O_ij - E_ij )² / E_ij ]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3.3a: Konfigurasi Variabel Uji Chi-Square (Sub-bab 3.3)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Komponen Uji</w:t>
            </w:r>
          </w:p>
        </w:tc>
        <w:tc>
          <w:tcPr>
            <w:tcW w:type="dxa" w:w="70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Variabel (Sub-bab 3.3)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Independen (X)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IKU Wilayah Sentra Tambang / IKU Wilayah Non-Sentra (indeks tekanan kualitas lingkungan).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Dependen (Y)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Total Kasus ISPA/Pneumonia (insidensi penyakit pernapasan dan lingkungan).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Nol (H0)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Penurunan kualitas lingkungan (IKU/IKA) tidak berkorelasi dengan peningkatan insidensi penyakit pernapasan dan pencernaan.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Alternatif (H1)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Penurunan kualitas udara ambien (IKU) berbanding lurus dengan peningkatan insidensi penyakit pernapasan dan lingkungan (ISPA dan Diare).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Decision Rule (Alpha 5%)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Chi-Square P-Value &lt; 0.05 (Tolak H0) dan kalkulasi Odds Ratio.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Threshold Kategori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Median per-provinsi data panel Provinsi-Tahun (N=18 observasi valid skenario Sentra); binning 'Tinggi'/'Rendah' per provinsi untuk menghilangkan bias besaran absolut antar wilayah.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Orientasi Odds Ratio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Untuk variabel X berjenis indeks kualitas (IKU/IKA), risiko dihitung saat indeks Rendah: OR = ( b × c ) / ( a × d ).</w:t>
            </w:r>
          </w:p>
        </w:tc>
      </w:tr>
    </w:tbl>
    <w:p>
      <w:pPr>
        <w:spacing w:before="0" w:after="60"/>
      </w:pP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3.4 Anomali Zoonosis: Dampak Kritis Ekspansi Industri di Level Tapak (Studi Kasus Sulteng)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Isolasi data tapak tingkat distrik/kabupaten sentra tambang aktif (Morowali, Morowali Utara, Banggai) mengukur lonjakan vektor zoonosis akibat genangan lubang tambang dan sanitasi industri dibandingkan kabupaten kontrol: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Akumulasi Zoonosis (Z_w,t,d) = Σ C_r,t,d   ;   Rasio Zoonosis Tapak (R_d) = Z̄_Tambang / Z̄_Kontrol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3.5 Pemetaan Geospasial: Distribusi Spasial Beban Penyakit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Pemodelan Before-After Analysis memproyeksikan pergeseran spasial intensitas morbiditas antara tahun acuan awal ekstraksi (2015) dan kondisi terkini (2024):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Radius Bubble Diare (r_p,t) = √D_p,t / K   ;   Laju Pertumbuhan (G_p %) = [ ( X_2024 - X_2015 ) / X_2015 ] × 100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3.6 Krisis Air Bersih: Tinjauan Makro Provinsi dan Bukti Uji Klinis Lingkar Tambang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Pendekatan komplementer dua lensa memadukan benchmark rasio toksisitas laboratorium Kromium Heksavalen (Cr6+) pada muara sungai tambang dengan uji Chi-Square data panel makro IKA vs Diare: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Rasio Pelanggaran Toksisitas = Konsentrasi Cr6+ / Baku Mutu Biota Laut (0.005 mg/L)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3.6a: Konfigurasi Variabel Uji Chi-Square (Sub-bab 3.6)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Komponen Uji</w:t>
            </w:r>
          </w:p>
        </w:tc>
        <w:tc>
          <w:tcPr>
            <w:tcW w:type="dxa" w:w="70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Variabel (Sub-bab 3.6)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Independen (X)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IKA Wilayah Sentra Tambang / IKA Wilayah Non-Sentra (Indeks Kualitas Air BPS/KLHK).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Dependen (Y)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Total Kasus Diare (kasus infeksi saluran pencernaan yang dilayani, Kemenkes).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Nol (H0)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Rendahnya Indeks Kualitas Air (IKA) tidak berhubungan dengan tingginya kasus Diare.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Alternatif (H1)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Provinsi dengan IKA rendah berasosiasi signifikan dengan peningkatan kasus Diare.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Decision Rule (Alpha 5%)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Jika P-Value &lt; 0.05, maka Tolak H0 (terbukti signifikan bahwa pencemaran air meningkatkan kasus Diare).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Threshold Kategori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Median per-provinsi data panel Provinsi-Tahun (N=16 observasi valid skenario Sentra dari 6 provinsi × 8 tahun); binning 'Tinggi'/'Rendah' per provinsi.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Orientasi Odds Ratio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Karena IKA indikator positif (semakin tinggi semakin baik), risiko dihitung saat IKA Rendah: OR = ( b × c ) / ( a × d ).</w:t>
            </w:r>
          </w:p>
        </w:tc>
      </w:tr>
    </w:tbl>
    <w:p>
      <w:pPr>
        <w:spacing w:before="0" w:after="60"/>
      </w:pP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3.7 Beban Limbah Beracun (B3): Eksternalitas Kesehatan yang Diabaikan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Kuantifikasi neraca timbulan limbah bahan berbahaya dan beracun (B3) mengagregasi volume pelepasan residu padat dan cair per provinsi serta menghitung proporsi jenis limbah spesifik: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Total Timbulan B3_p = Σ [ Timbulan Fasilitas Mayor_i ]   ;   Proporsi Jenis B3 (%) = [ Total B3_j / Total B3 ] × 100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3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pada Bab 3 ditopang oleh metode kuantitatif yang terukur dan menghasilkan sintesis bukti empiris terstandarisasi sebagaimana dirangkum pada matriks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Kajian Empiris</w:t>
            </w:r>
          </w:p>
        </w:tc>
        <w:tc>
          <w:tcPr>
            <w:tcW w:type="dxa" w:w="5102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Kesenjangan Fasilitas Kesehatan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Grouped Horizontal Bar Chart, Rasio Disparitas Faskes per Zona Industri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Ketimpangan Beban Morbiditas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Comparative Spatial Analysis Sentra vs Non-Sentra, Kelipatan Disparitas Morbiditas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Lintasan Waktu Insidensi &amp; IKU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Time-Series Line Chart per 10.000 Jiwa, Uji Chi-Square (χ²), Odds Ratio (OR)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Anomali Vektor Zoonosis Tapak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Deep-Dive Case Study Distrik Tambang Sulteng, Analisis Komparasi Wilayah Kontrol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Pemetaan Spasial Beban Penyakit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Choropleth Poligon ISPA &amp; Radius Bubble Diare, Before-After Analysis (2015 vs 2024)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3.6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Krisis Air Bersih &amp; Toksisitas Cr6+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Pendekatan Dua Lensa (Mikro Lab vs Makro Panel), Regresi OLS, Uji Chi-Square (χ²)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3.7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Eksternalitas Limbah Beracun B3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Agregasi Timbulan Regional, Profiling Fasilitas Mayor, Analisis Komposisi Residu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Kerangka operasional metodologi Bab 3 berjalan secara terpadu melalui empat fase berurutan sebagaimana divisualisasikan pada bagan alur kerja riset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3.1: Alur Logika Kerangka Kerja Riset Bab 3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3:</w:t>
        <w:br/>
      </w:r>
      <w:r>
        <w:rPr>
          <w:rFonts w:ascii="Calibri" w:hAnsi="Calibri"/>
          <w:b w:val="0"/>
          <w:i w:val="0"/>
          <w:color w:val="222222"/>
          <w:sz w:val="16"/>
        </w:rPr>
        <w:t>1. Konfigurasi Disparitas Infrastruktur &amp; Morbiditas: Membuktikan paradoks kawasan sentra hilirisasi yang memikul beban penyakit pernapasan 2x lipat lebih tinggi di tengah defisit fasilitas rumah sakit sekunder.</w:t>
        <w:br/>
        <w:t>2. Konfigurasi Dua Lensa Krisis Sanitasi &amp; Toksisitas: Memadukan pengujian inferensial data panel makro dengan bukti mikroskopis pelanggaran baku mutu logam berat karsinogenik Kromium Heksavalen (Cr6+) hingga 200 kali lipat di muara tambang.</w:t>
        <w:br/>
        <w:t>3. Konfigurasi Neraca Eksternalitas Limbah Beracun (B3): Mengkuantifikasi timbulan 32,8 juta ton per tahun limbah slag dan tailing HPAL sebagai ancaman risiko kesehatan masyarakat jangka panjang bagi dokumen D3TLH.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