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75"/>
            <w:shd w:val="clear" w:color="auto" w:fill="FFEBEE"/>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B71C1C"/>
                <w:sz w:val="16"/>
              </w:rPr>
              <w:t>1. HULU PERTAMBANGAN (KAT. B)</w:t>
            </w:r>
          </w:p>
          <w:p>
            <w:pPr>
              <w:spacing w:before="40"/>
            </w:pPr>
            <w:r>
              <w:rPr>
                <w:b w:val="0"/>
                <w:i w:val="0"/>
                <w:color w:val="222222"/>
                <w:sz w:val="15"/>
              </w:rPr>
              <w:t>Perpres No. 26/2010 Ps. 1 Ay. (2)</w:t>
              <w:br/>
              <w:t>Definisi langsung pengambilan SDA tak terbarukan (bijih nikel) dari dalam bumi.</w:t>
            </w:r>
          </w:p>
        </w:tc>
        <w:tc>
          <w:tcPr>
            <w:tcW w:type="dxa" w:w="3175"/>
            <w:shd w:val="clear" w:color="auto" w:fill="FFF3E0"/>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E65100"/>
                <w:sz w:val="16"/>
              </w:rPr>
              <w:t>2. HILIR SMELTER (KAT. C)</w:t>
            </w:r>
          </w:p>
          <w:p>
            <w:pPr>
              <w:spacing w:before="40"/>
            </w:pPr>
            <w:r>
              <w:rPr>
                <w:b w:val="0"/>
                <w:i w:val="0"/>
                <w:color w:val="222222"/>
                <w:sz w:val="15"/>
              </w:rPr>
              <w:t>UU 3/2020 Ps. 1(1) &amp; Ps. 102-103; PP 96/2021</w:t>
              <w:br/>
              <w:t>Smelter (KBLI 24) adalah mandat wajib &amp; bagian integral tahapan operasi pertambangan.</w:t>
            </w:r>
          </w:p>
        </w:tc>
        <w:tc>
          <w:tcPr>
            <w:tcW w:type="dxa" w:w="3175"/>
            <w:shd w:val="clear" w:color="auto" w:fill="FFF3E0"/>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E65100"/>
                <w:sz w:val="16"/>
              </w:rPr>
              <w:t>3. ENERGI CAPTIVE (KAT. D)</w:t>
            </w:r>
          </w:p>
          <w:p>
            <w:pPr>
              <w:spacing w:before="40"/>
            </w:pPr>
            <w:r>
              <w:rPr>
                <w:b w:val="0"/>
                <w:i w:val="0"/>
                <w:color w:val="222222"/>
                <w:sz w:val="15"/>
              </w:rPr>
              <w:t>Perpres 112/2022 Ps. 3(4)b &amp; RUPTL PLN</w:t>
              <w:br/>
              <w:t>PLTU batubara baru dikecualikan hanya bagi yang terintegrasi khusus melayani smelter.</w:t>
            </w:r>
          </w:p>
        </w:tc>
      </w:tr>
      <w:tr>
        <w:tc>
          <w:tcPr>
            <w:tcW w:type="dxa" w:w="3175"/>
            <w:tcBorders>
              <w:top w:val="none"/>
              <w:left w:val="none"/>
              <w:bottom w:val="none"/>
              <w:right w:val="none"/>
            </w:tcBorders>
          </w:tcPr>
          <w:p>
            <w:pPr>
              <w:spacing w:before="20" w:after="20"/>
              <w:jc w:val="center"/>
            </w:pPr>
            <w:r>
              <w:rPr>
                <w:b/>
                <w:i w:val="0"/>
                <w:color w:val="2E7D32"/>
                <w:sz w:val="22"/>
              </w:rPr>
              <w:t>↓</w:t>
            </w:r>
          </w:p>
        </w:tc>
        <w:tc>
          <w:tcPr>
            <w:tcW w:type="dxa" w:w="3175"/>
            <w:tcBorders>
              <w:top w:val="none"/>
              <w:left w:val="none"/>
              <w:bottom w:val="none"/>
              <w:right w:val="none"/>
            </w:tcBorders>
          </w:tcPr>
          <w:p>
            <w:pPr>
              <w:spacing w:before="20" w:after="20"/>
              <w:jc w:val="center"/>
            </w:pPr>
            <w:r>
              <w:rPr>
                <w:b/>
                <w:i w:val="0"/>
                <w:color w:val="2E7D32"/>
                <w:sz w:val="22"/>
              </w:rPr>
              <w:t>↓</w:t>
            </w:r>
          </w:p>
        </w:tc>
        <w:tc>
          <w:tcPr>
            <w:tcW w:type="dxa" w:w="3175"/>
            <w:tcBorders>
              <w:top w:val="none"/>
              <w:left w:val="none"/>
              <w:bottom w:val="none"/>
              <w:right w:val="none"/>
            </w:tcBorders>
          </w:tcPr>
          <w:p>
            <w:pPr>
              <w:spacing w:before="20" w:after="20"/>
              <w:jc w:val="center"/>
            </w:pPr>
            <w:r>
              <w:rPr>
                <w:b/>
                <w:i w:val="0"/>
                <w:color w:val="2E7D32"/>
                <w:sz w:val="22"/>
              </w:rPr>
              <w:t>↓</w:t>
            </w:r>
          </w:p>
        </w:tc>
      </w:tr>
      <w:tr>
        <w:tc>
          <w:tcPr>
            <w:tcW w:type="dxa" w:w="9525"/>
            <w:gridSpan w:val="3"/>
            <w:shd w:val="clear" w:color="auto" w:fill="E8F5E9"/>
            <w:tcMar>
              <w:top w:w="80" w:type="dxa"/>
              <w:bottom w:w="80" w:type="dxa"/>
              <w:left w:w="100" w:type="dxa"/>
              <w:right w:w="100" w:type="dxa"/>
            </w:tcMar>
            <w:tcBorders>
              <w:top w:val="single" w:sz="8" w:color="1B5E20" w:space="0"/>
              <w:left w:val="single" w:sz="8" w:color="1B5E20" w:space="0"/>
              <w:bottom w:val="single" w:sz="8" w:color="1B5E20" w:space="0"/>
              <w:right w:val="single" w:sz="8" w:color="1B5E20" w:space="0"/>
            </w:tcBorders>
          </w:tcPr>
          <w:p>
            <w:pPr>
              <w:jc w:val="center"/>
            </w:pPr>
            <w:r>
              <w:rPr>
                <w:b/>
                <w:i w:val="0"/>
                <w:color w:val="1B5E20"/>
                <w:sz w:val="17"/>
              </w:rPr>
              <w:t>KESIMPULAN METODOLOGIS: LEGAL SUPPLY-CHAIN FRAMEWORK</w:t>
            </w:r>
          </w:p>
          <w:p>
            <w:pPr>
              <w:spacing w:before="40"/>
              <w:jc w:val="center"/>
            </w:pPr>
            <w:r>
              <w:rPr>
                <w:b/>
                <w:i w:val="0"/>
                <w:color w:val="222222"/>
                <w:sz w:val="16"/>
              </w:rPr>
              <w:t>Kategori B (Tambang) + Kategori C (Smelter) + Kategori D (PLTU Captive) =</w:t>
              <w:br/>
              <w:t>SATU KESATUAN RANTAI PASOK EKSTRAKTIF yang dimandatkan dan terikat secara hukum.</w:t>
            </w:r>
          </w:p>
        </w:tc>
      </w:tr>
      <w:tr>
        <w:tc>
          <w:tcPr>
            <w:tcW w:type="dxa" w:w="3175"/>
          </w:tcPr>
          <w:p/>
        </w:tc>
        <w:tc>
          <w:tcPr>
            <w:tcW w:type="dxa" w:w="3175"/>
          </w:tcPr>
          <w:p/>
        </w:tc>
        <w:tc>
          <w:tcPr>
            <w:tcW w:type="dxa" w:w="3175"/>
          </w:tcPr>
          <w:p/>
        </w:tc>
      </w:tr>
    </w:tbl>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75"/>
            <w:shd w:val="clear" w:color="auto" w:fill="E8F5E9"/>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1B5E20"/>
                <w:sz w:val="16"/>
              </w:rPr>
              <w:t>1. INPUT DATA KABUPATEN</w:t>
            </w:r>
          </w:p>
          <w:p>
            <w:pPr>
              <w:spacing w:before="40"/>
            </w:pPr>
            <w:r>
              <w:rPr>
                <w:b w:val="0"/>
                <w:i w:val="0"/>
                <w:color w:val="222222"/>
                <w:sz w:val="15"/>
              </w:rPr>
              <w:t>Data PDRB ADHB 13 Kabupaten/Kota se-Sulteng (BPS SIMDASI 2024) mencakup seluruh 17 kategori KBLI 2020.</w:t>
            </w:r>
          </w:p>
        </w:tc>
        <w:tc>
          <w:tcPr>
            <w:tcW w:type="dxa" w:w="3175"/>
            <w:shd w:val="clear" w:color="auto" w:fill="FFF3E0"/>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E65100"/>
                <w:sz w:val="16"/>
              </w:rPr>
              <w:t>2. REKLASIFIKASI RANTAI PASOK</w:t>
            </w:r>
          </w:p>
          <w:p>
            <w:pPr>
              <w:spacing w:before="40"/>
            </w:pPr>
            <w:r>
              <w:rPr>
                <w:b w:val="0"/>
                <w:i w:val="0"/>
                <w:color w:val="222222"/>
                <w:sz w:val="15"/>
              </w:rPr>
              <w:t>Pengelompokan ke 3 Klaster Makro:</w:t>
              <w:br/>
              <w:t>• Ekstraktif (Kat. B + C + D)</w:t>
              <w:br/>
              <w:t>• Akar Rumput (Kat. A)</w:t>
              <w:br/>
              <w:t>• Jasa &amp; Lainnya (Kat. E–U)</w:t>
            </w:r>
          </w:p>
        </w:tc>
        <w:tc>
          <w:tcPr>
            <w:tcW w:type="dxa" w:w="3175"/>
            <w:shd w:val="clear" w:color="auto" w:fill="FFEBEE"/>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B71C1C"/>
                <w:sz w:val="16"/>
              </w:rPr>
              <w:t>3. EVALUASI POLARISASI SPASIAL</w:t>
            </w:r>
          </w:p>
          <w:p>
            <w:pPr>
              <w:spacing w:before="40"/>
            </w:pPr>
            <w:r>
              <w:rPr>
                <w:b w:val="0"/>
                <w:i w:val="0"/>
                <w:color w:val="222222"/>
                <w:sz w:val="15"/>
              </w:rPr>
              <w:t>Identifikasi konsentrasi ekstrem: Morowali &amp; Morut menguasai &gt;54% total PDRB provinsi, meninggalkan 11 kabupaten agraris lainnya.</w:t>
            </w:r>
          </w:p>
        </w:tc>
      </w:tr>
    </w:tbl>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75"/>
            <w:shd w:val="clear" w:color="auto" w:fill="E8F5E9"/>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1B5E20"/>
                <w:sz w:val="16"/>
              </w:rPr>
              <w:t>1. INPUT DATA PROVINSI</w:t>
            </w:r>
          </w:p>
          <w:p>
            <w:pPr>
              <w:spacing w:before="40"/>
            </w:pPr>
            <w:r>
              <w:rPr>
                <w:b w:val="0"/>
                <w:i w:val="0"/>
                <w:color w:val="222222"/>
                <w:sz w:val="15"/>
              </w:rPr>
              <w:t>• BPS 6 Provinsi se-Sulawesi</w:t>
              <w:br/>
              <w:t>• PDRB 17 Sektor Lapangan Usaha ADHB (2024)</w:t>
              <w:br/>
              <w:t>• Satuan mentah: Miliar Rupiah</w:t>
            </w:r>
          </w:p>
        </w:tc>
        <w:tc>
          <w:tcPr>
            <w:tcW w:type="dxa" w:w="3175"/>
            <w:shd w:val="clear" w:color="auto" w:fill="FFF3E0"/>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E65100"/>
                <w:sz w:val="16"/>
              </w:rPr>
              <w:t>2. STANDARDISASI &amp; SKALA</w:t>
            </w:r>
          </w:p>
          <w:p>
            <w:pPr>
              <w:spacing w:before="40"/>
            </w:pPr>
            <w:r>
              <w:rPr>
                <w:b w:val="0"/>
                <w:i w:val="0"/>
                <w:color w:val="222222"/>
                <w:sz w:val="15"/>
              </w:rPr>
              <w:t>• Konversi: Triliun Rp = Miliar / 1000</w:t>
              <w:br/>
              <w:t>• Porsi Sektor (%) = (Nilai / Total) * 100</w:t>
              <w:br/>
              <w:t>• Uniform Scale: [0, 178.5 T Rp]</w:t>
              <w:br/>
              <w:t>• Pewarnaan 3 Klaster Makro</w:t>
            </w:r>
          </w:p>
        </w:tc>
        <w:tc>
          <w:tcPr>
            <w:tcW w:type="dxa" w:w="3175"/>
            <w:shd w:val="clear" w:color="auto" w:fill="FFEBEE"/>
            <w:tcMar>
              <w:top w:w="60" w:type="dxa"/>
              <w:bottom w:w="60" w:type="dxa"/>
              <w:left w:w="80" w:type="dxa"/>
              <w:right w:w="80" w:type="dxa"/>
            </w:tcMar>
            <w:tcBorders>
              <w:top w:val="single" w:sz="4" w:color="2E7D32" w:space="0"/>
              <w:left w:val="single" w:sz="4" w:color="2E7D32" w:space="0"/>
              <w:bottom w:val="single" w:sz="4" w:color="2E7D32" w:space="0"/>
              <w:right w:val="single" w:sz="4" w:color="2E7D32" w:space="0"/>
            </w:tcBorders>
          </w:tcPr>
          <w:p>
            <w:r>
              <w:rPr>
                <w:b/>
                <w:i w:val="0"/>
                <w:color w:val="B71C1C"/>
                <w:sz w:val="16"/>
              </w:rPr>
              <w:t>3. TEMUAN KOMPARATIF</w:t>
            </w:r>
          </w:p>
          <w:p>
            <w:pPr>
              <w:spacing w:before="40"/>
            </w:pPr>
            <w:r>
              <w:rPr>
                <w:b w:val="0"/>
                <w:i w:val="0"/>
                <w:color w:val="222222"/>
                <w:sz w:val="15"/>
              </w:rPr>
              <w:t>• Sulteng &amp; Sultra: Anomali dominasi Industri Ekstraktif (Smelter &amp; Tambang &gt;55% PDRB)</w:t>
              <w:br/>
              <w:t>• Sulsel, Sulbar, Gorontalo, Sulut: Struktur agraris terbarukan &amp; jasa layanan</w:t>
            </w:r>
          </w:p>
        </w:tc>
      </w:tr>
      <w:tr>
        <w:tc>
          <w:tcPr>
            <w:tcW w:type="dxa" w:w="3175"/>
            <w:tcBorders>
              <w:top w:val="none"/>
              <w:left w:val="none"/>
              <w:bottom w:val="none"/>
              <w:right w:val="none"/>
            </w:tcBorders>
          </w:tcPr>
          <w:p>
            <w:pPr>
              <w:spacing w:before="20" w:after="20"/>
              <w:jc w:val="center"/>
            </w:pPr>
            <w:r>
              <w:rPr>
                <w:b/>
                <w:i w:val="0"/>
                <w:color w:val="2E7D32"/>
                <w:sz w:val="22"/>
              </w:rPr>
              <w:t>↓</w:t>
            </w:r>
          </w:p>
        </w:tc>
        <w:tc>
          <w:tcPr>
            <w:tcW w:type="dxa" w:w="3175"/>
            <w:tcBorders>
              <w:top w:val="none"/>
              <w:left w:val="none"/>
              <w:bottom w:val="none"/>
              <w:right w:val="none"/>
            </w:tcBorders>
          </w:tcPr>
          <w:p>
            <w:pPr>
              <w:spacing w:before="20" w:after="20"/>
              <w:jc w:val="center"/>
            </w:pPr>
            <w:r>
              <w:rPr>
                <w:b/>
                <w:i w:val="0"/>
                <w:color w:val="2E7D32"/>
                <w:sz w:val="22"/>
              </w:rPr>
              <w:t>↓</w:t>
            </w:r>
          </w:p>
        </w:tc>
        <w:tc>
          <w:tcPr>
            <w:tcW w:type="dxa" w:w="3175"/>
            <w:tcBorders>
              <w:top w:val="none"/>
              <w:left w:val="none"/>
              <w:bottom w:val="none"/>
              <w:right w:val="none"/>
            </w:tcBorders>
          </w:tcPr>
          <w:p>
            <w:pPr>
              <w:spacing w:before="20" w:after="20"/>
              <w:jc w:val="center"/>
            </w:pPr>
            <w:r>
              <w:rPr>
                <w:b/>
                <w:i w:val="0"/>
                <w:color w:val="2E7D32"/>
                <w:sz w:val="22"/>
              </w:rPr>
              <w:t>↓</w:t>
            </w:r>
          </w:p>
        </w:tc>
      </w:tr>
      <w:tr>
        <w:tc>
          <w:tcPr>
            <w:tcW w:type="dxa" w:w="9525"/>
            <w:gridSpan w:val="3"/>
            <w:shd w:val="clear" w:color="auto" w:fill="E8F5E9"/>
            <w:tcMar>
              <w:top w:w="80" w:type="dxa"/>
              <w:bottom w:w="80" w:type="dxa"/>
              <w:left w:w="100" w:type="dxa"/>
              <w:right w:w="100" w:type="dxa"/>
            </w:tcMar>
            <w:tcBorders>
              <w:top w:val="single" w:sz="8" w:color="1B5E20" w:space="0"/>
              <w:left w:val="single" w:sz="8" w:color="1B5E20" w:space="0"/>
              <w:bottom w:val="single" w:sz="8" w:color="1B5E20" w:space="0"/>
              <w:right w:val="single" w:sz="8" w:color="1B5E20" w:space="0"/>
            </w:tcBorders>
          </w:tcPr>
          <w:p>
            <w:pPr>
              <w:jc w:val="center"/>
            </w:pPr>
            <w:r>
              <w:rPr>
                <w:b/>
                <w:i w:val="0"/>
                <w:color w:val="1B5E20"/>
                <w:sz w:val="17"/>
              </w:rPr>
              <w:t>KESIMPULAN METODOLOGIS: STANDARISASI KOMPARATIF LINTAS WILAYAH (UNIFORM SCALE)</w:t>
            </w:r>
          </w:p>
          <w:p>
            <w:pPr>
              <w:spacing w:before="40"/>
              <w:jc w:val="center"/>
            </w:pPr>
            <w:r>
              <w:rPr>
                <w:b/>
                <w:i w:val="0"/>
                <w:color w:val="222222"/>
                <w:sz w:val="16"/>
              </w:rPr>
              <w:t>Penyetaraan batas sumbu X seragam [0, 178.5 Triliun Rp] memastikan eliminasi Visual Comparison Bias, membuktikan bahwa lonjakan industri smelter secara masif dan anomali struktural hanya terjadi di Sulawesi Tengah.</w:t>
            </w:r>
          </w:p>
        </w:tc>
      </w:tr>
    </w:tbl>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Kerangka Ekonomi Politik Ekologi: Pemusatan Kawasan Industri &amp; Jebakan Energi Fosil Off-Grid</w:t>
      </w:r>
    </w:p>
    <w:p>
      <w:pPr>
        <w:spacing w:after="100"/>
        <w:jc w:val="both"/>
      </w:pPr>
      <w:r>
        <w:rPr>
          <w:b w:val="0"/>
          <w:i w:val="0"/>
          <w:color w:val="222222"/>
          <w:sz w:val="19"/>
        </w:rPr>
        <w:t>Kawasan industri hilirisasi nikel beroperasi dengan kebutuhan daya listrik masif bertegangan tinggi secara terus-menerus (24/7) dengan keandalan tanpa jeda. Ketiadaan jaringan transmisi tegangan tinggi nasional (PLN) di pesisir terpencil mendorong korporasi pertambangan membangun pembangkit termal batu bara mandiri (*PLTU Captive Off-Grid*) langsung di dalam tapak kawasan industri. Pola ini melahirkan anomali konsentrasi spasial yang sangat ekstrem:</w:t>
      </w:r>
    </w:p>
    <w:p>
      <w:pPr>
        <w:spacing w:after="100"/>
        <w:jc w:val="both"/>
      </w:pPr>
      <w:r>
        <w:rPr>
          <w:b/>
          <w:i w:val="0"/>
          <w:color w:val="222222"/>
          <w:sz w:val="19"/>
        </w:rPr>
        <w:t xml:space="preserve">1. </w:t>
      </w:r>
      <w:r>
        <w:rPr>
          <w:b/>
          <w:i w:val="0"/>
          <w:color w:val="222222"/>
          <w:sz w:val="19"/>
        </w:rPr>
        <w:t xml:space="preserve">Konsentrasi 78% Fasilitas Smelter di Koridor Pesisir Timur: </w:t>
      </w:r>
      <w:r>
        <w:rPr>
          <w:b w:val="0"/>
          <w:i w:val="0"/>
          <w:color w:val="222222"/>
          <w:sz w:val="19"/>
        </w:rPr>
        <w:t>Dari total 778 fasilitas smelter di Pulau Sulawesi, sebanyak 77.9% (344 unit di Sulawesi Tengah dan 262 unit di Sulawesi Tenggara) berpusat di dua provinsi tersebut.</w:t>
        <w:br/>
      </w:r>
      <w:r>
        <w:rPr>
          <w:b/>
          <w:i w:val="0"/>
          <w:color w:val="222222"/>
          <w:sz w:val="19"/>
        </w:rPr>
        <w:t xml:space="preserve">2. </w:t>
      </w:r>
      <w:r>
        <w:rPr>
          <w:b/>
          <w:i w:val="0"/>
          <w:color w:val="222222"/>
          <w:sz w:val="19"/>
        </w:rPr>
        <w:t xml:space="preserve">Pemusatan 94% Daya Pembangkit Listrik Batubara Khusus: </w:t>
      </w:r>
      <w:r>
        <w:rPr>
          <w:b w:val="0"/>
          <w:i w:val="0"/>
          <w:color w:val="222222"/>
          <w:sz w:val="19"/>
        </w:rPr>
        <w:t>Dari total 9,825 MW kapasitas terpasang PLTU captive aktif se-Sulawesi, sebanyak 93.9% (7,325 MW di Sulteng dan 1,900 MW di Sultra) terkonsentrasi di kawasan industri pesisir kedua provinsi tersebut.</w:t>
        <w:br/>
      </w:r>
      <w:r>
        <w:rPr>
          <w:b/>
          <w:i w:val="0"/>
          <w:color w:val="222222"/>
          <w:sz w:val="19"/>
        </w:rPr>
        <w:t xml:space="preserve">3. </w:t>
      </w:r>
      <w:r>
        <w:rPr>
          <w:b/>
          <w:i w:val="0"/>
          <w:color w:val="222222"/>
          <w:sz w:val="19"/>
        </w:rPr>
        <w:t xml:space="preserve">Pembentukan Zona Tumbal Ekologis (Ecological Sacrifice Zones): </w:t>
      </w:r>
      <w:r>
        <w:rPr>
          <w:b w:val="0"/>
          <w:i w:val="0"/>
          <w:color w:val="222222"/>
          <w:sz w:val="19"/>
        </w:rPr>
        <w:t>Pemusatan ini membebankan seluruh biaya ekologis (polusi cerobong, pembuangan air bahang, limbah fly ash/bottom ash, dan pembongkaran hutan penyangga untuk tapak industri dan jalan angkut) secara eksklusif ke atas pundak ruang hidup masyarakat lokal di pesisir Sulawesi Tengah dan Tenggara.</w:t>
      </w:r>
    </w:p>
    <w:p>
      <w:pPr>
        <w:spacing w:before="160" w:after="40"/>
      </w:pPr>
      <w:r>
        <w:rPr>
          <w:b/>
          <w:i w:val="0"/>
          <w:color w:val="2E7D32"/>
          <w:sz w:val="19"/>
        </w:rPr>
        <w:t>B. Alur Logika Metodologis &amp; Standar Uji Tabulasi Silang (Crosstabulation SOP)</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75"/>
            <w:shd w:val="clear" w:color="auto" w:fill="E8F5E9"/>
            <w:tcMar>
              <w:top w:w="50" w:type="dxa"/>
              <w:bottom w:w="50" w:type="dxa"/>
              <w:left w:w="70" w:type="dxa"/>
              <w:right w:w="70" w:type="dxa"/>
            </w:tcMar>
            <w:tcBorders>
              <w:top w:val="single" w:sz="4" w:color="2E7D32" w:space="0"/>
              <w:left w:val="single" w:sz="4" w:color="2E7D32" w:space="0"/>
              <w:bottom w:val="single" w:sz="4" w:color="2E7D32" w:space="0"/>
              <w:right w:val="single" w:sz="4" w:color="2E7D32" w:space="0"/>
            </w:tcBorders>
          </w:tcPr>
          <w:p>
            <w:r>
              <w:rPr>
                <w:b/>
                <w:i w:val="0"/>
                <w:color w:val="1B5E20"/>
                <w:sz w:val="16"/>
              </w:rPr>
              <w:t>1. DATA PANEL SPASIOTEMPORAL</w:t>
            </w:r>
          </w:p>
          <w:p>
            <w:pPr>
              <w:spacing w:before="40"/>
            </w:pPr>
            <w:r>
              <w:rPr>
                <w:b w:val="0"/>
                <w:i w:val="0"/>
                <w:color w:val="222222"/>
                <w:sz w:val="15"/>
              </w:rPr>
              <w:t>• Matriks 6 Provinsi x 10 Tahun (N=60)</w:t>
              <w:br/>
              <w:t>• X: Kapasitas Kumulatif PLTU (GEM)</w:t>
              <w:br/>
              <w:t>• Y: Deforestasi Komoditas (GFW)</w:t>
            </w:r>
          </w:p>
        </w:tc>
        <w:tc>
          <w:tcPr>
            <w:tcW w:type="dxa" w:w="3175"/>
            <w:shd w:val="clear" w:color="auto" w:fill="FFF3E0"/>
            <w:tcMar>
              <w:top w:w="50" w:type="dxa"/>
              <w:bottom w:w="50" w:type="dxa"/>
              <w:left w:w="70" w:type="dxa"/>
              <w:right w:w="70" w:type="dxa"/>
            </w:tcMar>
            <w:tcBorders>
              <w:top w:val="single" w:sz="4" w:color="2E7D32" w:space="0"/>
              <w:left w:val="single" w:sz="4" w:color="2E7D32" w:space="0"/>
              <w:bottom w:val="single" w:sz="4" w:color="2E7D32" w:space="0"/>
              <w:right w:val="single" w:sz="4" w:color="2E7D32" w:space="0"/>
            </w:tcBorders>
          </w:tcPr>
          <w:p>
            <w:r>
              <w:rPr>
                <w:b/>
                <w:i w:val="0"/>
                <w:color w:val="E65100"/>
                <w:sz w:val="16"/>
              </w:rPr>
              <w:t>2. BINNING &amp; MISSING VALUES</w:t>
            </w:r>
          </w:p>
          <w:p>
            <w:pPr>
              <w:spacing w:before="40"/>
            </w:pPr>
            <w:r>
              <w:rPr>
                <w:b w:val="0"/>
                <w:i w:val="0"/>
                <w:color w:val="222222"/>
                <w:sz w:val="15"/>
              </w:rPr>
              <w:t>• Diskritisasi Median:</w:t>
              <w:br/>
              <w:t xml:space="preserve">  X &gt; 0 MW vs X ≤ 0 MW</w:t>
              <w:br/>
              <w:t xml:space="preserve">  Y ≥ 10,961 Ha vs Y &lt; 10,961 Ha</w:t>
              <w:br/>
              <w:t>• Listwise Deletion: Valid N = 60 (100%)</w:t>
            </w:r>
          </w:p>
        </w:tc>
        <w:tc>
          <w:tcPr>
            <w:tcW w:type="dxa" w:w="3175"/>
            <w:shd w:val="clear" w:color="auto" w:fill="E1F5FE"/>
            <w:tcMar>
              <w:top w:w="50" w:type="dxa"/>
              <w:bottom w:w="50" w:type="dxa"/>
              <w:left w:w="70" w:type="dxa"/>
              <w:right w:w="70" w:type="dxa"/>
            </w:tcMar>
            <w:tcBorders>
              <w:top w:val="single" w:sz="4" w:color="2E7D32" w:space="0"/>
              <w:left w:val="single" w:sz="4" w:color="2E7D32" w:space="0"/>
              <w:bottom w:val="single" w:sz="4" w:color="2E7D32" w:space="0"/>
              <w:right w:val="single" w:sz="4" w:color="2E7D32" w:space="0"/>
            </w:tcBorders>
          </w:tcPr>
          <w:p>
            <w:r>
              <w:rPr>
                <w:b/>
                <w:i w:val="0"/>
                <w:color w:val="0288D1"/>
                <w:sz w:val="16"/>
              </w:rPr>
              <w:t>3. ASUMSI CROSSTAB 2x2</w:t>
            </w:r>
          </w:p>
          <w:p>
            <w:pPr>
              <w:spacing w:before="40"/>
            </w:pPr>
            <w:r>
              <w:rPr>
                <w:b w:val="0"/>
                <w:i w:val="0"/>
                <w:color w:val="222222"/>
                <w:sz w:val="15"/>
              </w:rPr>
              <w:t>• Syarat SPSS: Expected Count ≥ 5</w:t>
              <w:br/>
              <w:t>• Minimum Expected = 11.5 (Terpenuhi)</w:t>
              <w:br/>
              <w:t>• Tidak ada sel 0 pada matriks harapan</w:t>
            </w:r>
          </w:p>
        </w:tc>
      </w:tr>
      <w:tr>
        <w:tc>
          <w:tcPr>
            <w:tcW w:type="dxa" w:w="3175"/>
            <w:tcBorders>
              <w:top w:val="none"/>
              <w:left w:val="none"/>
              <w:bottom w:val="none"/>
              <w:right w:val="none"/>
            </w:tcBorders>
          </w:tcPr>
          <w:p>
            <w:pPr>
              <w:spacing w:before="20" w:after="20"/>
              <w:jc w:val="center"/>
            </w:pPr>
            <w:r>
              <w:rPr>
                <w:b/>
                <w:i w:val="0"/>
                <w:color w:val="2E7D32"/>
                <w:sz w:val="20"/>
              </w:rPr>
              <w:t>↓</w:t>
            </w:r>
          </w:p>
        </w:tc>
        <w:tc>
          <w:tcPr>
            <w:tcW w:type="dxa" w:w="3175"/>
            <w:tcBorders>
              <w:top w:val="none"/>
              <w:left w:val="none"/>
              <w:bottom w:val="none"/>
              <w:right w:val="none"/>
            </w:tcBorders>
          </w:tcPr>
          <w:p>
            <w:pPr>
              <w:spacing w:before="20" w:after="20"/>
              <w:jc w:val="center"/>
            </w:pPr>
            <w:r>
              <w:rPr>
                <w:b/>
                <w:i w:val="0"/>
                <w:color w:val="2E7D32"/>
                <w:sz w:val="20"/>
              </w:rPr>
              <w:t>↓</w:t>
            </w:r>
          </w:p>
        </w:tc>
        <w:tc>
          <w:tcPr>
            <w:tcW w:type="dxa" w:w="3175"/>
            <w:tcBorders>
              <w:top w:val="none"/>
              <w:left w:val="none"/>
              <w:bottom w:val="none"/>
              <w:right w:val="none"/>
            </w:tcBorders>
          </w:tcPr>
          <w:p>
            <w:pPr>
              <w:spacing w:before="20" w:after="20"/>
              <w:jc w:val="center"/>
            </w:pPr>
            <w:r>
              <w:rPr>
                <w:b/>
                <w:i w:val="0"/>
                <w:color w:val="2E7D32"/>
                <w:sz w:val="20"/>
              </w:rPr>
              <w:t>↓</w:t>
            </w:r>
          </w:p>
        </w:tc>
      </w:tr>
      <w:tr>
        <w:tc>
          <w:tcPr>
            <w:tcW w:type="dxa" w:w="9525"/>
            <w:gridSpan w:val="3"/>
            <w:shd w:val="clear" w:color="auto" w:fill="E8F5E9"/>
            <w:tcMar>
              <w:top w:w="60" w:type="dxa"/>
              <w:bottom w:w="60" w:type="dxa"/>
              <w:left w:w="80" w:type="dxa"/>
              <w:right w:w="80" w:type="dxa"/>
            </w:tcMar>
            <w:tcBorders>
              <w:top w:val="single" w:sz="8" w:color="1B5E20" w:space="0"/>
              <w:left w:val="single" w:sz="8" w:color="1B5E20" w:space="0"/>
              <w:bottom w:val="single" w:sz="8" w:color="1B5E20" w:space="0"/>
              <w:right w:val="single" w:sz="8" w:color="1B5E20" w:space="0"/>
            </w:tcBorders>
          </w:tcPr>
          <w:p>
            <w:pPr>
              <w:jc w:val="center"/>
            </w:pPr>
            <w:r>
              <w:rPr>
                <w:b/>
                <w:i w:val="0"/>
                <w:color w:val="1B5E20"/>
                <w:sz w:val="17"/>
              </w:rPr>
              <w:t>HASIL UJI STATISTIK: PEARSON CHI-SQUARE χ² = 18.049 (df=1, p=0.0000) | ODDS RATIO = 18.00x</w:t>
            </w:r>
          </w:p>
          <w:p>
            <w:pPr>
              <w:spacing w:before="40"/>
              <w:jc w:val="center"/>
            </w:pPr>
            <w:r>
              <w:rPr>
                <w:b w:val="0"/>
                <w:i w:val="0"/>
                <w:color w:val="222222"/>
                <w:sz w:val="16"/>
              </w:rPr>
              <w:t>Hipotesis Nol (H0) Ditolak secara Mutlak (p &lt; 0.001). Wilayah dan tahun dengan PLTU Captive aktif menghadapi risiko mengalami deforestasi tinggi sebesar 18 KALI LIPAT lebih parah dibanding wilayah tanpa PLTU Captive.</w:t>
            </w:r>
          </w:p>
        </w:tc>
      </w:tr>
      <w:tr>
        <w:tc>
          <w:tcPr>
            <w:tcW w:type="dxa" w:w="3175"/>
            <w:tcBorders>
              <w:top w:val="none"/>
              <w:left w:val="none"/>
              <w:bottom w:val="none"/>
              <w:right w:val="none"/>
            </w:tcBorders>
          </w:tcPr>
          <w:p>
            <w:pPr>
              <w:spacing w:before="20" w:after="20"/>
              <w:jc w:val="center"/>
            </w:pPr>
            <w:r>
              <w:rPr>
                <w:b/>
                <w:i w:val="0"/>
                <w:color w:val="2E7D32"/>
                <w:sz w:val="20"/>
              </w:rPr>
              <w:t>↓</w:t>
            </w:r>
          </w:p>
        </w:tc>
        <w:tc>
          <w:tcPr>
            <w:tcW w:type="dxa" w:w="3175"/>
            <w:tcBorders>
              <w:top w:val="none"/>
              <w:left w:val="none"/>
              <w:bottom w:val="none"/>
              <w:right w:val="none"/>
            </w:tcBorders>
          </w:tcPr>
          <w:p>
            <w:pPr>
              <w:spacing w:before="20" w:after="20"/>
              <w:jc w:val="center"/>
            </w:pPr>
            <w:r>
              <w:rPr>
                <w:b/>
                <w:i w:val="0"/>
                <w:color w:val="2E7D32"/>
                <w:sz w:val="20"/>
              </w:rPr>
              <w:t>↓</w:t>
            </w:r>
          </w:p>
        </w:tc>
        <w:tc>
          <w:tcPr>
            <w:tcW w:type="dxa" w:w="3175"/>
            <w:tcBorders>
              <w:top w:val="none"/>
              <w:left w:val="none"/>
              <w:bottom w:val="none"/>
              <w:right w:val="none"/>
            </w:tcBorders>
          </w:tcPr>
          <w:p>
            <w:pPr>
              <w:spacing w:before="20" w:after="20"/>
              <w:jc w:val="center"/>
            </w:pPr>
            <w:r>
              <w:rPr>
                <w:b/>
                <w:i w:val="0"/>
                <w:color w:val="2E7D32"/>
                <w:sz w:val="20"/>
              </w:rPr>
              <w:t>↓</w:t>
            </w:r>
          </w:p>
        </w:tc>
      </w:tr>
      <w:tr>
        <w:tc>
          <w:tcPr>
            <w:tcW w:type="dxa" w:w="9525"/>
            <w:gridSpan w:val="3"/>
            <w:shd w:val="clear" w:color="auto" w:fill="FFEBEE"/>
            <w:tcMar>
              <w:top w:w="60" w:type="dxa"/>
              <w:bottom w:w="60" w:type="dxa"/>
              <w:left w:w="80" w:type="dxa"/>
              <w:right w:w="80" w:type="dxa"/>
            </w:tcMar>
            <w:tcBorders>
              <w:top w:val="single" w:sz="8" w:color="C62828" w:space="0"/>
              <w:left w:val="single" w:sz="8" w:color="C62828" w:space="0"/>
              <w:bottom w:val="single" w:sz="8" w:color="C62828" w:space="0"/>
              <w:right w:val="single" w:sz="8" w:color="C62828" w:space="0"/>
            </w:tcBorders>
          </w:tcPr>
          <w:p>
            <w:pPr>
              <w:jc w:val="center"/>
            </w:pPr>
            <w:r>
              <w:rPr>
                <w:b/>
                <w:i w:val="0"/>
                <w:color w:val="B71C1C"/>
                <w:sz w:val="17"/>
              </w:rPr>
              <w:t>PEMBEDAHAN REALITAS EKOLOGIS: EFEK MELUBER LINTAS BATAS (SPILLOVER EFFECT)</w:t>
            </w:r>
          </w:p>
          <w:p>
            <w:pPr>
              <w:spacing w:before="40"/>
              <w:jc w:val="center"/>
            </w:pPr>
            <w:r>
              <w:rPr>
                <w:b w:val="0"/>
                <w:i w:val="0"/>
                <w:color w:val="222222"/>
                <w:sz w:val="16"/>
              </w:rPr>
              <w:t>Kompleks PLTU Captive tidak hanya merusak tapak proyek, tetapi infrastruktur pendukungnya (jalan tambang, coal yard, transmisi, jetty) membongkar tutupan hutan penyangga lintas yurisdiksi administratif serta mengunci emisi batubara kotor selama puluhan tahun.</w:t>
            </w:r>
          </w:p>
        </w:tc>
      </w:tr>
    </w:tbl>
    <w:p>
      <w:pPr>
        <w:spacing w:before="40" w:after="80"/>
      </w:pPr>
    </w:p>
    <w:p>
      <w:pPr>
        <w:spacing w:before="160" w:after="40"/>
      </w:pPr>
      <w:r>
        <w:rPr>
          <w:b/>
          <w:i w:val="0"/>
          <w:color w:val="2E7D32"/>
          <w:sz w:val="19"/>
        </w:rPr>
        <w:t>C. Formulasi Matematis: Persamaan Konsentrasi Spasial, Uji Chi-Square, dan Odds Ratio</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Rincian Data Empiris: Matriks Hasil Uji Tabulasi Silang &amp; Estimasi Risiko (Crosstab 2x2)</w:t>
      </w: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Matriks Tabulasi Silang 2×2, Uji Chi-Square (χ²), dan Estimasi Odds Ratio Panel PLTU Captive vs Deforestasi Komoditas (2014–2023)</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Kapasitas PLTU (X)</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Rendah (&lt;10.962 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Tinggi (≥10.962 Ha)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Kasus</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Parameter Statistik Uji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 df</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Signifikansi (p) / 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Rendah (≤0 MW)</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 [Exp: 18.5]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 [Exp: 18.5]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 (100%)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Pearson Chi-Square (χ²)</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 (df=1)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 = 0.0000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 (&gt;0 MW)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 [Exp: 11.5]</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 [Exp: 11.5]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 (100%)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Likelihood Ratio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19.420 (df=1)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 = 0.0000 (Signifikan)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Observasi Panel</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30 [Exp: 30.0]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30 [Exp: 30.0]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 (100%)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Linear-by-Linear Association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20.036 (df=1)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 = 0.0000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Ukuran Risiko (Risk Estimate)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Cross-Product: (27x20)/(10x3)</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Rasio Peluang Risiko Bahaya</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OR = 18.00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Odds Ratio (OR)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18.00x</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Risiko Lonjakan 18x Lipat</w:t>
            </w:r>
          </w:p>
        </w:tc>
      </w:tr>
    </w:tbl>
    <w:p>
      <w:pPr>
        <w:spacing w:before="40" w:after="80"/>
      </w:pPr>
    </w:p>
    <w:p>
      <w:pPr>
        <w:spacing w:before="160" w:after="40"/>
      </w:pPr>
      <w:r>
        <w:rPr>
          <w:b/>
          <w:i w:val="0"/>
          <w:color w:val="2E7D32"/>
          <w:sz w:val="19"/>
        </w:rPr>
        <w:t>E. Pembedahan Realitas Ekologis: Pembongkaran Kawasan Penyangga dan Efek Meluber (Spillover)</w:t>
      </w:r>
    </w:p>
    <w:p>
      <w:pPr>
        <w:spacing w:after="100"/>
        <w:jc w:val="both"/>
      </w:pPr>
      <w:r>
        <w:rPr>
          <w:b w:val="0"/>
          <w:i w:val="0"/>
          <w:color w:val="222222"/>
          <w:sz w:val="19"/>
        </w:rPr>
        <w:t>Hasil pengujian empiris pada Tabel 1.5 membuktikan secara meyakinkan keterkaitan langsung antara ekspansi PLTU Captive dan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 0.0000): </w:t>
      </w:r>
      <w:r>
        <w:rPr>
          <w:b w:val="0"/>
          <w:i w:val="0"/>
          <w:color w:val="222222"/>
          <w:sz w:val="19"/>
        </w:rPr>
        <w:t>Nilai Pearson Chi-Square sebesar 18.049 dengan derajat kebebasan (df=1) menghasilkan nilai p = 0.0000 (jauh di bawah batas kritis alpha 0.05). Hipotesis Nol (H0) ditolak secara mutlak: terbukti secara empiris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Nilai Odds Ratio sebesar 18.00x membuktikan bahwa wilayah dan periode tahun yang mengoperasikan PLTU Captive menghadapi peluang mengalami deforestasi komoditas tinggi sebesar 18 KALI LIPAT lebih besar dibandingkan wilayah tanpa PLTU Captive. Infrastruktur pembangkit batu bara tidak hanya menghasilkan polusi cerobong, tetapi memicu konversi hutan masif untuk penimbunan batu bara (coal yard), jalur transmisi listrik privat, jalan angkut logistik (haul road), dan dermaga curah khusus (jetty).</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Meskipun tapak pembangkit berada di kawasan pesisir tertentu (seperti Morowali dan Konawe), eksternalitas destruktifnya merambat jauh melampaui batas administratif proyek (*spillover effect*). Pengoperasian 9.825 MW PLTU captive mengunci ketergantungan bahan bakar batu bara puluhan juta ton per tahun, mendegradasi tutupan daerah aliran sungai (DAS), mencemari ekosistem perairan laut, dan mengorbankan ruang hidup masyarakat lokal secara permanen.</w:t>
      </w:r>
    </w:p>
    <w:p>
      <w:pPr>
        <w:spacing w:before="240" w:after="80"/>
        <w:pBdr>
          <w:bottom w:val="single" w:sz="6" w:space="2" w:color="2E7D32"/>
        </w:pBdr>
      </w:pPr>
      <w:r>
        <w:rPr>
          <w:b/>
          <w:i w:val="0"/>
          <w:color w:val="2E7D32"/>
          <w:sz w:val="22"/>
        </w:rPr>
        <w:t>1.3 TREN PERTUMBUHAN IZIN TAMBANG BARU &amp; UJI SIGNIFIKANSI STATISTIK</w:t>
      </w:r>
    </w:p>
    <w:p>
      <w:pPr>
        <w:spacing w:before="180" w:after="60"/>
      </w:pPr>
      <w:r>
        <w:rPr>
          <w:b/>
          <w:i w:val="0"/>
          <w:color w:val="1B5E20"/>
          <w:sz w:val="20"/>
        </w:rPr>
        <w:t>1.3.1 Kurasi Data Perizinan Usaha Pertambangan (2014–2024)</w:t>
      </w:r>
    </w:p>
    <w:p>
      <w:pPr>
        <w:spacing w:after="100"/>
        <w:jc w:val="both"/>
      </w:pPr>
      <w:r>
        <w:rPr>
          <w:b w:val="0"/>
          <w:i w:val="0"/>
          <w:color w:val="222222"/>
          <w:sz w:val="19"/>
        </w:rPr>
        <w:t xml:space="preserve">Data perizinan resmi mencatat penerbitan sebanyak </w:t>
      </w:r>
      <w:r>
        <w:rPr>
          <w:b/>
          <w:i w:val="0"/>
          <w:color w:val="222222"/>
          <w:sz w:val="19"/>
        </w:rPr>
        <w:t>574 izin usaha pertambangan (IUP) baru</w:t>
      </w:r>
      <w:r>
        <w:rPr>
          <w:b w:val="0"/>
          <w:i w:val="0"/>
          <w:color w:val="222222"/>
          <w:sz w:val="19"/>
        </w:rPr>
        <w:t xml:space="preserve"> dengan total alokasi luas wilayah konsesi mencapai </w:t>
      </w:r>
      <w:r>
        <w:rPr>
          <w:b/>
          <w:i w:val="0"/>
          <w:color w:val="222222"/>
          <w:sz w:val="19"/>
        </w:rPr>
        <w:t>819,452 Hektar</w:t>
      </w:r>
      <w:r>
        <w:rPr>
          <w:b w:val="0"/>
          <w:i w:val="0"/>
          <w:color w:val="222222"/>
          <w:sz w:val="19"/>
        </w:rPr>
        <w:t xml:space="preserve"> sepanjang periode 2014–2024. Data izin tersebut diagregasikan berdasarkan wilayah provinsi dan tahun penerbitan resmi.</w:t>
      </w:r>
    </w:p>
    <w:p>
      <w:pPr>
        <w:spacing w:before="180" w:after="60"/>
      </w:pPr>
      <w:r>
        <w:rPr>
          <w:b/>
          <w:i w:val="0"/>
          <w:color w:val="1B5E20"/>
          <w:sz w:val="20"/>
        </w:rPr>
        <w:t>1.3.2 Laju Pertumbuhan Tahunan &amp; Analisis Kebijakan</w:t>
      </w:r>
    </w:p>
    <w:p>
      <w:pPr>
        <w:spacing w:after="100"/>
        <w:jc w:val="both"/>
      </w:pPr>
      <w:r>
        <w:rPr>
          <w:b w:val="0"/>
          <w:i w:val="0"/>
          <w:color w:val="222222"/>
          <w:sz w:val="19"/>
        </w:rPr>
        <w:t xml:space="preserve">Laju pertumbuhan penerbitan izin per tahun dihitung berdasarkan perubahan persentase tahunan (*Year-on-Year*). Tercatat lonjakan pertumbuhan perizinan sebesar </w:t>
      </w:r>
      <w:r>
        <w:rPr>
          <w:b/>
          <w:i w:val="0"/>
          <w:color w:val="222222"/>
          <w:sz w:val="19"/>
        </w:rPr>
        <w:t>246% pada periode 2022–2024</w:t>
      </w:r>
      <w:r>
        <w:rPr>
          <w:b w:val="0"/>
          <w:i w:val="0"/>
          <w:color w:val="222222"/>
          <w:sz w:val="19"/>
        </w:rPr>
        <w:t>, seiring dengan penyesuaian regulasi perizinan terpusat pasca-pemberlakuan undang-undang minerba terbaru.</w:t>
      </w:r>
    </w:p>
    <w:p>
      <w:pPr>
        <w:spacing w:before="120" w:after="20"/>
      </w:pPr>
      <w:r>
        <w:rPr>
          <w:b/>
          <w:i/>
          <w:color w:val="2E7D32"/>
          <w:sz w:val="17"/>
        </w:rPr>
        <w:t>Persamaan: Laju Pertumbuhan Izin Tahunan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Jumlah_Izin_Tahun_t - Jumlah_Izin_Tahun_{t-1} ) / Jumlah_Izin_Tahun_{t-1}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Jumlah_Izin_Tahun_t: </w:t>
      </w:r>
      <w:r>
        <w:rPr>
          <w:b w:val="0"/>
          <w:i w:val="0"/>
          <w:color w:val="444444"/>
          <w:sz w:val="16"/>
        </w:rPr>
        <w:t>Banyaknya izin usaha pertambangan (IUP) baru yang diterbitkan pada tahun berjalan (t).</w:t>
        <w:br/>
      </w:r>
      <w:r>
        <w:rPr>
          <w:b/>
          <w:i w:val="0"/>
          <w:color w:val="1B5E20"/>
          <w:sz w:val="16"/>
        </w:rPr>
        <w:t xml:space="preserve">• Jumlah_Izin_Tahun_{t-1}: </w:t>
      </w:r>
      <w:r>
        <w:rPr>
          <w:b w:val="0"/>
          <w:i w:val="0"/>
          <w:color w:val="444444"/>
          <w:sz w:val="16"/>
        </w:rPr>
        <w:t>Banyaknya IUP baru yang diterbitkan pada satu tahun sebelumnya (t - 1).</w:t>
      </w:r>
    </w:p>
    <w:p>
      <w:pPr>
        <w:spacing w:before="180" w:after="60"/>
      </w:pPr>
      <w:r>
        <w:rPr>
          <w:b/>
          <w:i w:val="0"/>
          <w:color w:val="1B5E20"/>
          <w:sz w:val="20"/>
        </w:rPr>
        <w:t>1.3.3 Konstruksi Data Panel Spasiotemporal &amp; Pengelompokan Median</w:t>
      </w:r>
    </w:p>
    <w:p>
      <w:pPr>
        <w:spacing w:after="100"/>
        <w:jc w:val="both"/>
      </w:pPr>
      <w:r>
        <w:rPr>
          <w:b w:val="0"/>
          <w:i w:val="0"/>
          <w:color w:val="222222"/>
          <w:sz w:val="19"/>
        </w:rPr>
        <w:t xml:space="preserve">Untuk memperkuat keandalan analisis statistik dengan jumlah wilayah terbatas, disusun matriks </w:t>
      </w:r>
      <w:r>
        <w:rPr>
          <w:b/>
          <w:i w:val="0"/>
          <w:color w:val="222222"/>
          <w:sz w:val="19"/>
        </w:rPr>
        <w:t>Data Panel Spasiotemporal</w:t>
      </w:r>
      <w:r>
        <w:rPr>
          <w:b w:val="0"/>
          <w:i w:val="0"/>
          <w:color w:val="222222"/>
          <w:sz w:val="19"/>
        </w:rPr>
        <w:t xml:space="preserve"> yang mencakup 6 provinsi selama 10 tahun (2014–2023) dengan total 60 observasi panel. Indikator kuantitatif kontinu diklasifikasikan ke dalam kategori relatif (Tinggi vs Rendah) menggunakan nilai tengah (median) data panel.</w:t>
      </w:r>
    </w:p>
    <w:p>
      <w:pPr>
        <w:spacing w:before="180" w:after="60"/>
      </w:pPr>
      <w:r>
        <w:rPr>
          <w:b/>
          <w:i w:val="0"/>
          <w:color w:val="1B5E20"/>
          <w:sz w:val="20"/>
        </w:rPr>
        <w:t>1.3.4 Uji Hubungan Asosiasi Chi-Square (χ²) &amp; Estimasi Rasio Keunggulan (Odds Ratio)</w:t>
      </w:r>
    </w:p>
    <w:p>
      <w:pPr>
        <w:spacing w:after="100"/>
        <w:jc w:val="both"/>
      </w:pPr>
      <w:r>
        <w:rPr>
          <w:b w:val="0"/>
          <w:i w:val="0"/>
          <w:color w:val="222222"/>
          <w:sz w:val="19"/>
        </w:rPr>
        <w:t>Uji independensi statistik Chi-Square dan estimasi rasio keunggulan (*Odds Ratio*) diterapkan pada tabel kontinjensi 2×2 untuk menguji ada tidaknya hubungan signifikan antara intensitas perizinan/energi dengan luas pembukaan tutupan hutan komoditas:</w:t>
      </w:r>
    </w:p>
    <w:p>
      <w:pPr>
        <w:spacing w:before="120" w:after="20"/>
      </w:pPr>
      <w:r>
        <w:rPr>
          <w:b/>
          <w:i/>
          <w:color w:val="2E7D32"/>
          <w:sz w:val="17"/>
        </w:rPr>
        <w:t>Persamaan: Uji Independensi Chi-Square (Pearson)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independensi/ketergantungan hubungan dua variabel.</w:t>
        <w:br/>
      </w:r>
      <w:r>
        <w:rPr>
          <w:b/>
          <w:i w:val="0"/>
          <w:color w:val="1B5E20"/>
          <w:sz w:val="16"/>
        </w:rPr>
        <w:t xml:space="preserve">• Frekuensi_Observasi: </w:t>
      </w:r>
      <w:r>
        <w:rPr>
          <w:b w:val="0"/>
          <w:i w:val="0"/>
          <w:color w:val="444444"/>
          <w:sz w:val="16"/>
        </w:rPr>
        <w:t>Jumlah observasi aktual yang tercatat pada sel tabel kontinjensi matriks panel.</w:t>
        <w:br/>
      </w:r>
      <w:r>
        <w:rPr>
          <w:b/>
          <w:i w:val="0"/>
          <w:color w:val="1B5E20"/>
          <w:sz w:val="16"/>
        </w:rPr>
        <w:t xml:space="preserve">• Frekuensi_Harapan: </w:t>
      </w:r>
      <w:r>
        <w:rPr>
          <w:b w:val="0"/>
          <w:i w:val="0"/>
          <w:color w:val="444444"/>
          <w:sz w:val="16"/>
        </w:rPr>
        <w:t>Jumlah observasi teoretis yang diharapkan jika tidak terdapat asosiasi antar-variabel.</w:t>
      </w:r>
    </w:p>
    <w:p>
      <w:pPr>
        <w:spacing w:before="120" w:after="20"/>
      </w:pPr>
      <w:r>
        <w:rPr>
          <w:b/>
          <w:i/>
          <w:color w:val="2E7D32"/>
          <w:sz w:val="17"/>
        </w:rPr>
        <w:t>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Jumlah_Kasus_A * Jumlah_Kasus_D ) / ( Jumlah_Kasus_B * Jumlah_Kasus_C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rasio peluang terjadinya deforestasi tinggi pada kelompok tekanan industri tinggi dibanding kelompok rendah.</w:t>
        <w:br/>
      </w:r>
      <w:r>
        <w:rPr>
          <w:b/>
          <w:i w:val="0"/>
          <w:color w:val="1B5E20"/>
          <w:sz w:val="16"/>
        </w:rPr>
        <w:t xml:space="preserve">• Jumlah_Kasus (A, B, C, D): </w:t>
      </w:r>
      <w:r>
        <w:rPr>
          <w:b w:val="0"/>
          <w:i w:val="0"/>
          <w:color w:val="444444"/>
          <w:sz w:val="16"/>
        </w:rPr>
        <w:t>Frekuensi data panel pada masing-masing kuadran tabel kontinjensi 2×2.</w:t>
      </w:r>
    </w:p>
    <w:p>
      <w:pPr>
        <w:spacing w:after="100"/>
        <w:jc w:val="both"/>
      </w:pPr>
      <w:r>
        <w:rPr>
          <w:b w:val="0"/>
          <w:i w:val="0"/>
          <w:color w:val="222222"/>
          <w:sz w:val="19"/>
        </w:rPr>
        <w:t xml:space="preserve">Hasil lengkap pengujian independensi statistik Chi-Square dan estimasi Odds Ratio (OR) untuk seluruh faktor tekanan terhadap kehilangan tutupan hutan komoditas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Hasil Uji Independensi Chi-Square (χ²) dan Odds Ratio (OR) Data Panel Bab 1</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Faktor Tekanan</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Dampak Lingkungan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Signifikansi (p)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 (OR)</w:t>
            </w:r>
          </w:p>
        </w:tc>
        <w:tc>
          <w:tcPr>
            <w:tcW w:type="dxa" w:w="56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Derajat Bebas (df)</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Kesimpulan Ilmiah</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17.086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0.0000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13.14</w:t>
            </w:r>
          </w:p>
        </w:tc>
        <w:tc>
          <w:tcPr>
            <w:tcW w:type="dxa" w:w="56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Signifikan (Terbukti Berhubungan)</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0.0283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3.45</w:t>
            </w:r>
          </w:p>
        </w:tc>
        <w:tc>
          <w:tcPr>
            <w:tcW w:type="dxa" w:w="56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Signifikan (Terbukti Berhubungan)</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PLTU Captive (MW)</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3.951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0.0468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2.89</w:t>
            </w:r>
          </w:p>
        </w:tc>
        <w:tc>
          <w:tcPr>
            <w:tcW w:type="dxa" w:w="56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Signifikan (Terbukti Berhubungan)</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(Triliun)</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0.0424</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3.10</w:t>
            </w:r>
          </w:p>
        </w:tc>
        <w:tc>
          <w:tcPr>
            <w:tcW w:type="dxa" w:w="56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Signifikan (Terbukti Berhubungan)</w:t>
            </w:r>
          </w:p>
        </w:tc>
      </w:tr>
    </w:tbl>
    <w:p>
      <w:pPr>
        <w:spacing w:before="40" w:after="80"/>
      </w:pPr>
    </w:p>
    <w:p>
      <w:pPr>
        <w:spacing w:before="240" w:after="80"/>
        <w:pBdr>
          <w:bottom w:val="single" w:sz="6" w:space="2" w:color="2E7D32"/>
        </w:pBdr>
      </w:pPr>
      <w:r>
        <w:rPr>
          <w:b/>
          <w:i w:val="0"/>
          <w:color w:val="2E7D32"/>
          <w:sz w:val="22"/>
        </w:rPr>
        <w:t>1.4 ANALISIS REALISASI INVESTASI PMDN DAN DAMPAK TERHADAP TUTUPAN HUTAN</w:t>
      </w:r>
    </w:p>
    <w:p>
      <w:pPr>
        <w:spacing w:before="180" w:after="60"/>
      </w:pPr>
      <w:r>
        <w:rPr>
          <w:b/>
          <w:i w:val="0"/>
          <w:color w:val="1B5E20"/>
          <w:sz w:val="20"/>
        </w:rPr>
        <w:t>1.4.1 Parameterisasi Arus Investasi Dalam Negeri (BKPM)</w:t>
      </w:r>
    </w:p>
    <w:p>
      <w:pPr>
        <w:spacing w:after="100"/>
        <w:jc w:val="both"/>
      </w:pPr>
      <w:r>
        <w:rPr>
          <w:b w:val="0"/>
          <w:i w:val="0"/>
          <w:color w:val="222222"/>
          <w:sz w:val="19"/>
        </w:rPr>
        <w:t xml:space="preserve">Data realisasi Penanaman Modal Dalam Negeri (PMDN) dari Kementerian Investasi/BKPM mencatat total arus modal sebesar </w:t>
      </w:r>
      <w:r>
        <w:rPr>
          <w:b/>
          <w:i w:val="0"/>
          <w:color w:val="222222"/>
          <w:sz w:val="19"/>
        </w:rPr>
        <w:t>Rp 218 Triliun</w:t>
      </w:r>
      <w:r>
        <w:rPr>
          <w:b w:val="0"/>
          <w:i w:val="0"/>
          <w:color w:val="222222"/>
          <w:sz w:val="19"/>
        </w:rPr>
        <w:t xml:space="preserve"> sepanjang periode 2016–2024. Investasi ini sebagian besar terserap pada proyek-proyek hilirisasi mineral padat modal.</w:t>
      </w:r>
    </w:p>
    <w:p>
      <w:pPr>
        <w:spacing w:before="180" w:after="60"/>
      </w:pPr>
      <w:r>
        <w:rPr>
          <w:b/>
          <w:i w:val="0"/>
          <w:color w:val="1B5E20"/>
          <w:sz w:val="20"/>
        </w:rPr>
        <w:t>1.4.2 Metodologi Pemantauan Satelit Tutupan Hutan (Global Forest Watch)</w:t>
      </w:r>
    </w:p>
    <w:p>
      <w:pPr>
        <w:spacing w:after="100"/>
        <w:jc w:val="both"/>
      </w:pPr>
      <w:r>
        <w:rPr>
          <w:b w:val="0"/>
          <w:i w:val="0"/>
          <w:color w:val="222222"/>
          <w:sz w:val="19"/>
        </w:rPr>
        <w:t xml:space="preserve">Data satelit pemantauan hutan global mencatat akumulasi kehilangan tutupan hutan akibat komoditas tambang dan perkebunan sebesar </w:t>
      </w:r>
      <w:r>
        <w:rPr>
          <w:b/>
          <w:i w:val="0"/>
          <w:color w:val="222222"/>
          <w:sz w:val="19"/>
        </w:rPr>
        <w:t>1,001,654 Hektar</w:t>
      </w:r>
      <w:r>
        <w:rPr>
          <w:b w:val="0"/>
          <w:i w:val="0"/>
          <w:color w:val="222222"/>
          <w:sz w:val="19"/>
        </w:rPr>
        <w:t>, dengan kehilangan hutan primer mencapai 1,2 Juta Hektar serta estimasi pelepasan emisi karbon terkait lahan sebesar 890 Juta Megagram CO2 di seluruh Pulau Sulawesi.</w:t>
      </w:r>
    </w:p>
    <w:p>
      <w:pPr>
        <w:spacing w:before="180" w:after="60"/>
      </w:pPr>
      <w:r>
        <w:rPr>
          <w:b/>
          <w:i w:val="0"/>
          <w:color w:val="1B5E20"/>
          <w:sz w:val="20"/>
        </w:rPr>
        <w:t>1.4.3 Analisis Perbandingan Antarwilayah &amp; Efek Jeda Waktu (Time-Lagging)</w:t>
      </w:r>
    </w:p>
    <w:p>
      <w:pPr>
        <w:spacing w:after="100"/>
        <w:jc w:val="both"/>
      </w:pPr>
      <w:r>
        <w:rPr>
          <w:b w:val="0"/>
          <w:i w:val="0"/>
          <w:color w:val="222222"/>
          <w:sz w:val="19"/>
        </w:rPr>
        <w:t xml:space="preserve">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240" w:after="80"/>
        <w:pBdr>
          <w:bottom w:val="single" w:sz="6" w:space="2" w:color="2E7D32"/>
        </w:pBdr>
      </w:pPr>
      <w:r>
        <w:rPr>
          <w:b/>
          <w:i w:val="0"/>
          <w:color w:val="2E7D32"/>
          <w:sz w:val="22"/>
        </w:rPr>
        <w:t>1.5 PELABUHAN EKSPOR &amp; PETA JALUR DISTRIBUSI LOGISTIK NIKEL SULAWESI</w:t>
      </w:r>
    </w:p>
    <w:p>
      <w:pPr>
        <w:spacing w:before="180" w:after="60"/>
      </w:pPr>
      <w:r>
        <w:rPr>
          <w:b/>
          <w:i w:val="0"/>
          <w:color w:val="1B5E20"/>
          <w:sz w:val="20"/>
        </w:rPr>
        <w:t>1.5.1 Protokol Validasi Silang Informasi Publik (Triangulasi 4-Lapis)</w:t>
      </w:r>
    </w:p>
    <w:p>
      <w:pPr>
        <w:spacing w:after="100"/>
        <w:jc w:val="both"/>
      </w:pPr>
      <w:r>
        <w:rPr>
          <w:b w:val="0"/>
          <w:i w:val="0"/>
          <w:color w:val="222222"/>
          <w:sz w:val="19"/>
        </w:rPr>
        <w:t>Verifikasi titik pelabuhan dan terminal khusus ekspor nikel dilakukan melalui pencocokan empat sumber dokumen resmi publik:</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Kawasan Industri Morowali (IMIP)</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Proyek Strategis Nasional (PSN)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Kawasan Industri Morowali Utara (GNI)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Sulawesi Tengah</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Teluk Tomori</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Usaha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Kawasan Industri Konawe (VDNI)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Proyek Strategis Nasional (PSN)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Kawasan Industri Konawe (OSS)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Proyek Strategis Nasional (PSN)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Kawasan Industri Pomalaa (ANTAM)</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Sistem Konveyor</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Korea Selatan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Kawasan Industri Sorowako (Vale)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Khusus Balantang Malili</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Pertambangan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180" w:after="60"/>
      </w:pPr>
      <w:r>
        <w:rPr>
          <w:b/>
          <w:i w:val="0"/>
          <w:color w:val="1B5E20"/>
          <w:sz w:val="20"/>
        </w:rPr>
        <w:t>1.5.2 Pemodelan Spasial Jalur Pelayaran Ekspor (Kurva Bézier)</w:t>
      </w:r>
    </w:p>
    <w:p>
      <w:pPr>
        <w:spacing w:after="100"/>
        <w:jc w:val="both"/>
      </w:pPr>
      <w:r>
        <w:rPr>
          <w:b w:val="0"/>
          <w:i w:val="0"/>
          <w:color w:val="222222"/>
          <w:sz w:val="19"/>
        </w:rPr>
        <w:t>Pemetaan alur pelayaran internasional dari titik muat pelabuhan asal di Sulawesi menuju pelabuhan bongkar di negara tujuan dimodelkan menggunakan formulasi kurva parametrik lengkung (*Bézier Curve*) untuk merepresentasikan alur laut kepulauan dan rute maritim internasional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   t dalam rentang [0, 1]</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br/>
      </w:r>
      <w:r>
        <w:rPr>
          <w:b/>
          <w:i w:val="0"/>
          <w:color w:val="1B5E20"/>
          <w:sz w:val="16"/>
        </w:rPr>
        <w:t xml:space="preserve">• t: </w:t>
      </w:r>
      <w:r>
        <w:rPr>
          <w:b w:val="0"/>
          <w:i w:val="0"/>
          <w:color w:val="444444"/>
          <w:sz w:val="16"/>
        </w:rPr>
        <w:t>Parameter interpolasi waktu dan pergerakan lintasan dalam rentang kontinu [0, 1].</w:t>
      </w:r>
    </w:p>
    <w:p>
      <w:pPr>
        <w:spacing w:before="240" w:after="80"/>
        <w:pBdr>
          <w:bottom w:val="single" w:sz="6" w:space="2" w:color="2E7D32"/>
        </w:pBdr>
      </w:pPr>
      <w:r>
        <w:rPr>
          <w:b/>
          <w:i w:val="0"/>
          <w:color w:val="2E7D32"/>
          <w:sz w:val="22"/>
        </w:rPr>
        <w:t>1.6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Energy Monitor (GEM)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Pengolahan &amp; Pemurnian (Smelter)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&amp; Basis Data Industri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Investasi / BKPM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Menurut 17 Lapangan Usaha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Provinsi se-Sulawesi)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Kabupaten se-Sulteng)</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Kehilangan Hutan Komoditas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Perubahan Tutupan Lahan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 Univ. of Maryland)</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Dermaga &amp; Terminal Khusus Ekspor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KNKT Kemenhub, Perpres PSN, Laporan Korporasi</w:t>
            </w:r>
          </w:p>
        </w:tc>
      </w:tr>
    </w:tbl>
    <w:p>
      <w:pPr>
        <w:spacing w:before="40" w:after="80"/>
      </w:pPr>
    </w:p>
    <w:p>
      <w:pPr>
        <w:spacing w:before="240" w:after="80"/>
        <w:pBdr>
          <w:bottom w:val="single" w:sz="6" w:space="2" w:color="2E7D32"/>
        </w:pBdr>
      </w:pPr>
      <w:r>
        <w:rPr>
          <w:b/>
          <w:i w:val="0"/>
          <w:color w:val="2E7D32"/>
          <w:sz w:val="22"/>
        </w:rPr>
        <w:t>1.7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