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1B5E20"/>
          <w:sz w:val="24"/>
        </w:rPr>
        <w:t>METODOLOGI PENELITIAN: BAB 1 — EKSPANSI INDUSTRI EKSTRAKTIF DAN INFRASTRUKTUR PENUNJANG DI PULAU SULAWESI</w:t>
      </w:r>
    </w:p>
    <w:p>
      <w:pPr>
        <w:spacing w:before="0" w:after="160"/>
        <w:pBdr>
          <w:bottom w:val="single" w:sz="8" w:space="2" w:color="1B5E20"/>
        </w:pBdr>
      </w:pPr>
      <w:r>
        <w:rPr>
          <w:b w:val="0"/>
          <w:i/>
          <w:color w:val="555555"/>
          <w:sz w:val="16"/>
        </w:rPr>
        <w:t>CELIOS (Center of Economic and Law Studies) · Audit Spasial-Statistik D3TLH Sulawesi (2014–2024) · Ringkasan Eksekutif Metodologis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1.  DESAIN PENELITIAN &amp; TUJUAN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Penelitian ini menggunakan </w:t>
      </w:r>
      <w:r>
        <w:rPr>
          <w:b/>
          <w:i w:val="0"/>
          <w:color w:val="222222"/>
          <w:sz w:val="17"/>
        </w:rPr>
        <w:t>desain audit spasial-statistik kuantitatif terintegrasi</w:t>
      </w:r>
      <w:r>
        <w:rPr>
          <w:b w:val="0"/>
          <w:i w:val="0"/>
          <w:color w:val="222222"/>
          <w:sz w:val="17"/>
        </w:rPr>
        <w:t xml:space="preserve"> untuk membedah akselerasi ekspansi industri ekstraktif (tambang nikel, fasilitas pemurnian smelter, dan kawasan industri bertenaga PLTU captive batubara) di enam provinsi Pulau Sulawesi sepanjang satu dekade (</w:t>
      </w:r>
      <w:r>
        <w:rPr>
          <w:b/>
          <w:i w:val="0"/>
          <w:color w:val="222222"/>
          <w:sz w:val="17"/>
        </w:rPr>
        <w:t>2014–2024</w:t>
      </w:r>
      <w:r>
        <w:rPr>
          <w:b w:val="0"/>
          <w:i w:val="0"/>
          <w:color w:val="222222"/>
          <w:sz w:val="17"/>
        </w:rPr>
        <w:t>). Riset ini memanfaatkan data tabular panel resmi lintas kementerian dan lembaga yang disinkronkan secara spasial untuk mengatasi bias perataan makro. Tiga tujuan utama riset meliputi:</w:t>
        <w:br/>
      </w:r>
      <w:r>
        <w:rPr>
          <w:b/>
          <w:i w:val="0"/>
          <w:color w:val="222222"/>
          <w:sz w:val="17"/>
        </w:rPr>
        <w:t xml:space="preserve">1. </w:t>
      </w:r>
      <w:r>
        <w:rPr>
          <w:b/>
          <w:i w:val="0"/>
          <w:color w:val="222222"/>
          <w:sz w:val="17"/>
        </w:rPr>
        <w:t xml:space="preserve">Mengukur Derajat Dominasi Sektoral: </w:t>
      </w:r>
      <w:r>
        <w:rPr>
          <w:b w:val="0"/>
          <w:i w:val="0"/>
          <w:color w:val="222222"/>
          <w:sz w:val="17"/>
        </w:rPr>
        <w:t>Mendekomposisi struktur PDRB provinsi dan kabupaten guna membuktikan pergeseran monolitik menuju sektor ekstraktif mengorbankan ekonomi pertanian rakyat.</w:t>
        <w:br/>
      </w:r>
      <w:r>
        <w:rPr>
          <w:b/>
          <w:i w:val="0"/>
          <w:color w:val="222222"/>
          <w:sz w:val="17"/>
        </w:rPr>
        <w:t xml:space="preserve">2. </w:t>
      </w:r>
      <w:r>
        <w:rPr>
          <w:b/>
          <w:i w:val="0"/>
          <w:color w:val="222222"/>
          <w:sz w:val="17"/>
        </w:rPr>
        <w:t xml:space="preserve">Memetakan Konsentrasi Spasial Klaster Industri: </w:t>
      </w:r>
      <w:r>
        <w:rPr>
          <w:b w:val="0"/>
          <w:i w:val="0"/>
          <w:color w:val="222222"/>
          <w:sz w:val="17"/>
        </w:rPr>
        <w:t>Mengidentifikasi pengelompokan geografis 778 smelter, 9.825 MW PLTU captive, serta 574 izin tambang nikel baru seluas 819.452 Ha.</w:t>
        <w:br/>
      </w:r>
      <w:r>
        <w:rPr>
          <w:b/>
          <w:i w:val="0"/>
          <w:color w:val="222222"/>
          <w:sz w:val="17"/>
        </w:rPr>
        <w:t xml:space="preserve">3. </w:t>
      </w:r>
      <w:r>
        <w:rPr>
          <w:b/>
          <w:i w:val="0"/>
          <w:color w:val="222222"/>
          <w:sz w:val="17"/>
        </w:rPr>
        <w:t xml:space="preserve">Menguji Kausalitas Tekanan Industri vs Deforestasi: </w:t>
      </w:r>
      <w:r>
        <w:rPr>
          <w:b w:val="0"/>
          <w:i w:val="0"/>
          <w:color w:val="222222"/>
          <w:sz w:val="17"/>
        </w:rPr>
        <w:t>Membuktikan secara inferensial signifikansi hubungan antara ekspansi pertambangan/energi dengan laju kehilangan tutupan hutan alam primer dan komoditas.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2.  SUMBER DATA &amp; CAKUPAN WILAYAH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Riset ini bersandar secara ketat pada data sekunder resmi dari otoritas statistik, kementerian teknis, dan lembaga pemantau global independen yang telah melalui audit konsistensi: </w:t>
      </w:r>
      <w:r>
        <w:rPr>
          <w:b/>
          <w:i w:val="0"/>
          <w:color w:val="222222"/>
          <w:sz w:val="17"/>
        </w:rPr>
        <w:t>Badan Pusat Statistik (BPS)</w:t>
      </w:r>
      <w:r>
        <w:rPr>
          <w:b w:val="0"/>
          <w:i w:val="0"/>
          <w:color w:val="222222"/>
          <w:sz w:val="17"/>
        </w:rPr>
        <w:t xml:space="preserve"> (Subject 52 PDRB Lapangan Usaha &amp; Keuangan Daerah), </w:t>
      </w:r>
      <w:r>
        <w:rPr>
          <w:b/>
          <w:i w:val="0"/>
          <w:color w:val="222222"/>
          <w:sz w:val="17"/>
        </w:rPr>
        <w:t>Kementerian ESDM</w:t>
      </w:r>
      <w:r>
        <w:rPr>
          <w:b w:val="0"/>
          <w:i w:val="0"/>
          <w:color w:val="222222"/>
          <w:sz w:val="17"/>
        </w:rPr>
        <w:t xml:space="preserve"> (MODI Minerbaone &amp; Database Smelter CGS), </w:t>
      </w:r>
      <w:r>
        <w:rPr>
          <w:b/>
          <w:i w:val="0"/>
          <w:color w:val="222222"/>
          <w:sz w:val="17"/>
        </w:rPr>
        <w:t>Kementerian Investasi / BKPM</w:t>
      </w:r>
      <w:r>
        <w:rPr>
          <w:b w:val="0"/>
          <w:i w:val="0"/>
          <w:color w:val="222222"/>
          <w:sz w:val="17"/>
        </w:rPr>
        <w:t xml:space="preserve"> (Realisasi PMDN Sektoral), </w:t>
      </w:r>
      <w:r>
        <w:rPr>
          <w:b/>
          <w:i w:val="0"/>
          <w:color w:val="222222"/>
          <w:sz w:val="17"/>
        </w:rPr>
        <w:t>Global Energy Monitor (GEM)</w:t>
      </w:r>
      <w:r>
        <w:rPr>
          <w:b w:val="0"/>
          <w:i w:val="0"/>
          <w:color w:val="222222"/>
          <w:sz w:val="17"/>
        </w:rPr>
        <w:t xml:space="preserve"> (Coal Plant Tracker), </w:t>
      </w:r>
      <w:r>
        <w:rPr>
          <w:b/>
          <w:i w:val="0"/>
          <w:color w:val="222222"/>
          <w:sz w:val="17"/>
        </w:rPr>
        <w:t>Global Forest Watch / Hansen UMD</w:t>
      </w:r>
      <w:r>
        <w:rPr>
          <w:b w:val="0"/>
          <w:i w:val="0"/>
          <w:color w:val="222222"/>
          <w:sz w:val="17"/>
        </w:rPr>
        <w:t xml:space="preserve"> (Tree Cover Loss &amp; Commodity Drivers), serta </w:t>
      </w:r>
      <w:r>
        <w:rPr>
          <w:b/>
          <w:i w:val="0"/>
          <w:color w:val="222222"/>
          <w:sz w:val="17"/>
        </w:rPr>
        <w:t>Komite Nasional Keselamatan Transportasi (KNKT)</w:t>
      </w:r>
      <w:r>
        <w:rPr>
          <w:b w:val="0"/>
          <w:i w:val="0"/>
          <w:color w:val="222222"/>
          <w:sz w:val="17"/>
        </w:rPr>
        <w:t xml:space="preserve"> dan Perpres PSN (Simpul Logistik Maritim). Seluruh observasi dihimpun dalam struktur </w:t>
      </w:r>
      <w:r>
        <w:rPr>
          <w:b/>
          <w:i w:val="0"/>
          <w:color w:val="222222"/>
          <w:sz w:val="17"/>
        </w:rPr>
        <w:t>data panel provinsi-tahun (N = 60 observasi: 6 provinsi × 10 tahun)</w:t>
      </w:r>
      <w:r>
        <w:rPr>
          <w:b w:val="0"/>
          <w:i w:val="0"/>
          <w:color w:val="222222"/>
          <w:sz w:val="17"/>
        </w:rPr>
        <w:t xml:space="preserve"> untuk menjamin validitas pengujian parametrik dan non-parametrik.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3.  OPERASIONALISASI 10 INDIKATOR EMPIRIS (TABEL 1.8)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Seluruh variabel kuantitatif, kategori analisis, satuan ukur, periode observasi, dan institusi primer resmi yang digunakan dalam Bab 1 disajikan secara komprehensif pada tabel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Nama Indikator Empiris</w:t>
            </w:r>
          </w:p>
        </w:tc>
        <w:tc>
          <w:tcPr>
            <w:tcW w:type="dxa" w:w="181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Kategori Analisis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Periode</w:t>
            </w:r>
          </w:p>
        </w:tc>
        <w:tc>
          <w:tcPr>
            <w:tcW w:type="dxa" w:w="266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Institusi &amp; Sumber Data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Izin Usaha Pertambangan (IUP) Baru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Faktor Tekanan Ekstraktif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Unit Izin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 Registry ESDM MODI (Minerbaone)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Wilayah Konsesi Tambang Baru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Faktor Tekanan Ekstraktif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 Registry ESDM MODI (Minerbaone)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Kapasitas Terpasang PLTU Captive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Energi Khusus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Global Energy Monitor (GEM Tracker)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Fasilitas Smelter Nikel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Fasilitas Industri Hilir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Unit Fasilitas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Database Smelter CGS &amp; ESDM MODI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Realisasi Investasi PMDN &amp; Nikel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Arus Modal Domestik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&amp; Kementerian Investasi / BKPM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PDRB Provinsi (Ekstraktif vs Akar Rumput)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Ekonomi Makro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(Subject 52: PDRB Lapangan Usaha)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PDRB Kabupaten Sentra Tambang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Ekonomi Daerah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(Subject 52 Kabupaten/Kota)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Pendapatan Asli Daerah (PAD) &amp; Pajak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Kapasitas Fiskal Daerah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Triliun Rp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API BPS (Statistik Keuangan Daerah)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Total Deforestasi Alam &amp; Komoditas</w:t>
            </w:r>
          </w:p>
        </w:tc>
        <w:tc>
          <w:tcPr>
            <w:tcW w:type="dxa" w:w="181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Dampak Ekologis Lanskap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2014–2023</w:t>
            </w:r>
          </w:p>
        </w:tc>
        <w:tc>
          <w:tcPr>
            <w:tcW w:type="dxa" w:w="266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Global Forest Watch (GFW API / Hansen UMD)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Simpul Pelabuhan &amp; Terminal Logistik Ekspor</w:t>
            </w:r>
          </w:p>
        </w:tc>
        <w:tc>
          <w:tcPr>
            <w:tcW w:type="dxa" w:w="181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Rantai Pasok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Titik &amp; DWT</w:t>
            </w:r>
          </w:p>
        </w:tc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66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KNKT, Regulasi Perpres PSN &amp; Korporasi</w:t>
            </w:r>
          </w:p>
        </w:tc>
      </w:tr>
    </w:tbl>
    <w:p>
      <w:pPr>
        <w:spacing w:before="0" w:after="60"/>
      </w:pP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4.  KERANGKA ANALISIS &amp; FORMULASI MATEMATIS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4.1 Reklasifikasi Rantai Pasok Hukum &amp; Pangsa Sektoral (PDRB)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Tujuh belas sektor KBLI 2020 direklasifikasi menjadi tiga klaster makro berdasarkan relasi hukum hilirisasi nikel (UU No. 3/2020 jo. PP No. 96/2021): </w:t>
      </w:r>
      <w:r>
        <w:rPr>
          <w:b/>
          <w:i w:val="0"/>
          <w:color w:val="222222"/>
          <w:sz w:val="17"/>
        </w:rPr>
        <w:t>Klaster Ekstraktif</w:t>
      </w:r>
      <w:r>
        <w:rPr>
          <w:b w:val="0"/>
          <w:i w:val="0"/>
          <w:color w:val="222222"/>
          <w:sz w:val="17"/>
        </w:rPr>
        <w:t xml:space="preserve"> (Pertambangan B, Industri Logam C24, dan Pengadaan Listrik D), </w:t>
      </w:r>
      <w:r>
        <w:rPr>
          <w:b/>
          <w:i w:val="0"/>
          <w:color w:val="222222"/>
          <w:sz w:val="17"/>
        </w:rPr>
        <w:t>Klaster Akar Rumput</w:t>
      </w:r>
      <w:r>
        <w:rPr>
          <w:b w:val="0"/>
          <w:i w:val="0"/>
          <w:color w:val="222222"/>
          <w:sz w:val="17"/>
        </w:rPr>
        <w:t xml:space="preserve"> (Pertanian, Kehutanan &amp; Perikanan A), serta </w:t>
      </w:r>
      <w:r>
        <w:rPr>
          <w:b/>
          <w:i w:val="0"/>
          <w:color w:val="222222"/>
          <w:sz w:val="17"/>
        </w:rPr>
        <w:t>Klaster Jasa &amp; Manufaktur Lain</w:t>
      </w:r>
      <w:r>
        <w:rPr>
          <w:b w:val="0"/>
          <w:i w:val="0"/>
          <w:color w:val="222222"/>
          <w:sz w:val="17"/>
        </w:rPr>
        <w:t>. Pangsa dihitung untuk mengukur ketergantungan monolitik wilayah: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Pangsa Sektor Ekstraktif (%) = [ PDRB Ekstraktif (B + C24 + D) / Total PDRB ] × 100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4.2 Dekomposisi Spasial &amp; Rasio Ketimpangan Kabupaten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Untuk membongkar ilusi agregat provinsi, PDRB didekomposisi ke 13 kabupaten/kota sentra nikel. Di Morowali, dominasi industri pengolahan nikel mencapai Rp157,17 Triliun, menciptakan kesenjangan ekstrim terhadap sektor pangan lokal: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Rasio Kesenjangan Spasial = PDRB Sektor Ekstraktif / PDRB Pertanian Rakyat = 58,21× (Morowali)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4.3 Konsentrasi Spasial Kawasan Industri &amp; PLTU Captive Off-Grid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Konsentrasi kapasitas smelter dan pembangkit listrik captive dihitung menggunakan rasio aglomerasi spasial. Hasil audit menunjukkan 89,06% dari total 9.825 MW kapasitas PLTU batubara off-grid terpusat hanya pada koridor Morowali–Konawe: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Porsi Konsentrasi Sentra (%) = [ Kapasitas Sentra Industri (MW) / Total Kapasitas Se-Sulawesi (MW) ] × 100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4.4 Deret Waktu Perizinan &amp; Laju Alih Ruang Harian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Akumulasi 574 izin tambang baru seluas 819.452,54 Ha sepanjang 2014–2024 dievaluasi laju pertumbuhannya (lonjakan +246% pasca-2022) dan dikonversi menjadi intensitas konversi ruang per hari: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Laju Alih Ruang Harian = Total Luas Konsesi Tambang Baru (Ha) / 3.650 Hari = 224,51 Ha / Hari</w:t>
      </w: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4.5 Analisis Tabulasi Silang, Uji Chi-Square &amp; Odds Ratio (OR)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 xml:space="preserve">Seluruh observasi panel (N = 60) diklasifikasikan ke dalam matriks kontinjensi 2×2 berbasis </w:t>
      </w:r>
      <w:r>
        <w:rPr>
          <w:b/>
          <w:i w:val="0"/>
          <w:color w:val="222222"/>
          <w:sz w:val="17"/>
        </w:rPr>
        <w:t>ambang median (High vs. Low)</w:t>
      </w:r>
      <w:r>
        <w:rPr>
          <w:b w:val="0"/>
          <w:i w:val="0"/>
          <w:color w:val="222222"/>
          <w:sz w:val="17"/>
        </w:rPr>
        <w:t>. Uji Chi-Square independensi (α = 5%) diterapkan untuk membuktikan signifikansi asosiasi, sementara Odds Ratio (OR) mengukur rasio peluang kelipatan risiko degradasi hutan:</w:t>
      </w:r>
    </w:p>
    <w:p>
      <w:pPr>
        <w:spacing w:before="40" w:after="80"/>
        <w:ind w:left="160"/>
        <w:shd w:val="clear" w:color="auto" w:fill="EDF7EE"/>
      </w:pPr>
      <w:r>
        <w:rPr>
          <w:rFonts w:ascii="Courier New" w:hAnsi="Courier New"/>
          <w:b w:val="0"/>
          <w:i w:val="0"/>
          <w:color w:val="2E7D32"/>
          <w:sz w:val="16"/>
        </w:rPr>
        <w:t>χ² = Σ [ (O_ij - E_ij)² / E_ij ]   |   Odds Ratio (OR) = (a × d) / (b × 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72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Skenario Uji Hubungan (X → Y)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Nilai χ²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Odds Ratio</w:t>
            </w:r>
          </w:p>
        </w:tc>
        <w:tc>
          <w:tcPr>
            <w:tcW w:type="dxa" w:w="192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Signifikansi (p &lt; 0.05)</w:t>
            </w:r>
          </w:p>
        </w:tc>
        <w:tc>
          <w:tcPr>
            <w:tcW w:type="dxa" w:w="294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Interpretasi Hubungan Kausalitas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PLTU Captive (Kapasitas MW) → Deforestasi Total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18,05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18,0×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Risiko deforestasi melonjak 18 kali lipat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IUP Baru (Jumlah Unit) → Deforestasi Alam Primer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17,24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13,8×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Penerbitan izin memicu kehilangan hutan primer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IUP Baru (Jumlah Unit) → Deforestasi Komoditas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21,82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21,4×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Tekanan izin tambang memicu alih fungsi terparah</w:t>
            </w:r>
          </w:p>
        </w:tc>
      </w:tr>
      <w:tr>
        <w:tc>
          <w:tcPr>
            <w:tcW w:type="dxa" w:w="272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Luas Konsesi (Hektar Ha) → Deforestasi Komoditas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19,27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16,0×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&lt; 0,001 (Signifikan)</w:t>
            </w:r>
          </w:p>
        </w:tc>
        <w:tc>
          <w:tcPr>
            <w:tcW w:type="dxa" w:w="294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Korelasi langsung luas konsesi vs bukaan hutan</w:t>
            </w:r>
          </w:p>
        </w:tc>
      </w:tr>
      <w:tr>
        <w:tc>
          <w:tcPr>
            <w:tcW w:type="dxa" w:w="272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Investasi PMDN (Triliun Rp) → Deforestasi Komoditas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2,08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2,8×</w:t>
            </w:r>
          </w:p>
        </w:tc>
        <w:tc>
          <w:tcPr>
            <w:tcW w:type="dxa" w:w="192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p = 0,149 (Time-Lag)</w:t>
            </w:r>
          </w:p>
        </w:tc>
        <w:tc>
          <w:tcPr>
            <w:tcW w:type="dxa" w:w="294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Efek modal tertunda pada fase konstruksi awal</w:t>
            </w:r>
          </w:p>
        </w:tc>
      </w:tr>
    </w:tbl>
    <w:p>
      <w:pPr>
        <w:spacing w:before="0" w:after="60"/>
      </w:pPr>
    </w:p>
    <w:p>
      <w:pPr>
        <w:keepNext/>
        <w:spacing w:before="140" w:after="40"/>
      </w:pPr>
      <w:r>
        <w:rPr>
          <w:b/>
          <w:i w:val="0"/>
          <w:color w:val="2E7D32"/>
          <w:sz w:val="18"/>
        </w:rPr>
        <w:t>4.6 Pemodelan Alur Rantai Pasok Maritim Ekspor (Kurva Bézier)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Simpul logistik pelabuhan ekspor diverifikasi melalui triangulasi laporan investigasi KNKT, ketetapan Perpres PSN, dan data emiten tambang. Alur pelayaran curah nikel menuju pasar internasional (Tiongkok, Jepang, Korea Selatan menyerap &gt;78% kargo) dimodelkan secara spasial menggunakan persamaan kurva Bézier kuadratik di atas koordinat bola bumi guna memetakan jalur lalu lintas maritim yang rentan kecelakaan tongkang.</w:t>
      </w: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5.  KORESPONDENSI METODOLOGI TERHADAP SUB-BAB LAPORAN BAB 1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Setiap sub-bab analitis pada Bab 1 ditopang oleh metode kuantitatif yang presisi dan menghasilkan luaran visual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Sub-bab</w:t>
            </w:r>
          </w:p>
        </w:tc>
        <w:tc>
          <w:tcPr>
            <w:tcW w:type="dxa" w:w="243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Fokus Kajian Empiris</w:t>
            </w:r>
          </w:p>
        </w:tc>
        <w:tc>
          <w:tcPr>
            <w:tcW w:type="dxa" w:w="300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Metode Analitis Utama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Luaran Visual / Statistik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1.1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Struktur Makro PDRB Provinsi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Reklasifikasi Hukum KBLI, Pangsa Sektoral, Tren Pertumbuhan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Small Multiples Bar Chart, Tabel Kontribusi Sektor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1.2</w:t>
            </w:r>
          </w:p>
        </w:tc>
        <w:tc>
          <w:tcPr>
            <w:tcW w:type="dxa" w:w="243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Kawasan Industri &amp; PLTU Captive</w:t>
            </w:r>
          </w:p>
        </w:tc>
        <w:tc>
          <w:tcPr>
            <w:tcW w:type="dxa" w:w="300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Analisis Aglomerasi Spasial, Rasio Kapasitas Off-grid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Peta Sebaran Smelter, Stacked Bar Kapasitas MW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1.3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Tren Perizinan Konsesi Tambang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Deret Waktu Tahunan, Laju Alih Ruang Ha/Hari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Area Chart Akumulasi Izin &amp; Luas Konsesi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1.4</w:t>
            </w:r>
          </w:p>
        </w:tc>
        <w:tc>
          <w:tcPr>
            <w:tcW w:type="dxa" w:w="243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Arus Investasi PMDN &amp; Deforestasi</w:t>
            </w:r>
          </w:p>
        </w:tc>
        <w:tc>
          <w:tcPr>
            <w:tcW w:type="dxa" w:w="300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Uji Non-parametrik Chi-Square (χ²), Odds Ratio (OR)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Matriks Tabel Kontinjensi 2×2, Ringkasan Inferensial</w:t>
            </w:r>
          </w:p>
        </w:tc>
      </w:tr>
      <w:tr>
        <w:tc>
          <w:tcPr>
            <w:tcW w:type="dxa" w:w="136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Sub-bab 1.5–1.6</w:t>
            </w:r>
          </w:p>
        </w:tc>
        <w:tc>
          <w:tcPr>
            <w:tcW w:type="dxa" w:w="243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Infrastruktur Logistik &amp; Rantai Pasok</w:t>
            </w:r>
          </w:p>
        </w:tc>
        <w:tc>
          <w:tcPr>
            <w:tcW w:type="dxa" w:w="300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Triangulasi Dokumen Resmi, Kurva Parametrik Bézier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Peta Alur Pelayaran Ekspor, Matriks Insiden Maritim</w:t>
            </w:r>
          </w:p>
        </w:tc>
      </w:tr>
    </w:tbl>
    <w:p>
      <w:pPr>
        <w:spacing w:before="0" w:after="60"/>
      </w:pPr>
    </w:p>
    <w:p>
      <w:pPr>
        <w:keepNext/>
        <w:spacing w:before="220" w:after="60"/>
        <w:pBdr>
          <w:bottom w:val="single" w:sz="6" w:space="2" w:color="2E7D32"/>
        </w:pBdr>
      </w:pPr>
      <w:r>
        <w:rPr>
          <w:b/>
          <w:i w:val="0"/>
          <w:color w:val="1B5E20"/>
          <w:sz w:val="20"/>
        </w:rPr>
        <w:t>6.  BAGAN ALUR KERANGKA KERJA RISET (RESEARCH WORKFLOW)</w:t>
      </w:r>
    </w:p>
    <w:p>
      <w:pPr>
        <w:spacing w:after="80" w:line="276" w:lineRule="auto"/>
        <w:jc w:val="both"/>
      </w:pPr>
      <w:r>
        <w:rPr>
          <w:b w:val="0"/>
          <w:i w:val="0"/>
          <w:color w:val="222222"/>
          <w:sz w:val="17"/>
        </w:rPr>
        <w:t>Kerangka kerja operasional metodologi Bab 1 berjalan secara sekuensial melalui empat fase sistematis: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13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Fase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Tahapan Metodologis</w:t>
            </w:r>
          </w:p>
        </w:tc>
        <w:tc>
          <w:tcPr>
            <w:tcW w:type="dxa" w:w="5953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b/>
                <w:i w:val="0"/>
                <w:color w:val="FFFFFF"/>
                <w:sz w:val="15"/>
              </w:rPr>
              <w:t>Rincian Operasional &amp; Bahan Analisis</w:t>
            </w:r>
          </w:p>
        </w:tc>
      </w:tr>
      <w:tr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Akuisisi &amp; Kurasi Data</w:t>
            </w:r>
          </w:p>
        </w:tc>
        <w:tc>
          <w:tcPr>
            <w:tcW w:type="dxa" w:w="5953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Pengumpulan basis data resmi terbuka: BPS (PDRB &amp; Keuangan Daerah), ESDM MODI (IUP &amp; Konsesi), GEM (PLTU), BKPM (PMDN), GFW (Deforestasi), KNKT (Logistik).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II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Reklasifikasi Hukum &amp; Spasial</w:t>
            </w:r>
          </w:p>
        </w:tc>
        <w:tc>
          <w:tcPr>
            <w:tcW w:type="dxa" w:w="5953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Standardisasi klasifikasi ekonomi berbasis mandat regulasi hilirisasi (UU 3/2020 &amp; Perpres 112/2022) menjadi 3 klaster makro serta dekomposisi data ke level kabupaten.</w:t>
            </w:r>
          </w:p>
        </w:tc>
      </w:tr>
      <w:tr>
        <w:tc>
          <w:tcPr>
            <w:tcW w:type="dxa" w:w="113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III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Pengujian Statistik Inferensial</w:t>
            </w:r>
          </w:p>
        </w:tc>
        <w:tc>
          <w:tcPr>
            <w:tcW w:type="dxa" w:w="5953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Konstruksi tabel kontinjensi 2×2 berbasis ambang median (Panel N=60), uji independensi Chi-Square (χ²), perhitungan rasio peluang risiko (Odds Ratio), dan uji asosiasi.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b w:val="0"/>
                <w:i w:val="0"/>
                <w:color w:val="222222"/>
                <w:sz w:val="15"/>
              </w:rPr>
              <w:t>Fase IV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Pemodelan Spasial &amp; Sintesis Kebijakan</w:t>
            </w:r>
          </w:p>
        </w:tc>
        <w:tc>
          <w:tcPr>
            <w:tcW w:type="dxa" w:w="5953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b w:val="0"/>
                <w:i w:val="0"/>
                <w:color w:val="222222"/>
                <w:sz w:val="15"/>
              </w:rPr>
              <w:t>Pemodelan geospasial alur pasok maritim dengan kurva Bézier, sintesis disparitas ekonomi makro, serta perumusan bukti empiris dominasi ekstraktif bagi dokumen D3TLH.</w:t>
            </w:r>
          </w:p>
        </w:tc>
      </w:tr>
    </w:tbl>
    <w:p>
      <w:pPr>
        <w:spacing w:before="0" w:after="60"/>
      </w:pPr>
    </w:p>
    <w:p>
      <w:pPr>
        <w:spacing w:before="80" w:after="80"/>
        <w:pBdr>
          <w:top w:val="single" w:sz="8" w:space="3" w:color="1B5E20"/>
          <w:left w:val="single" w:sz="8" w:space="3" w:color="1B5E20"/>
          <w:bottom w:val="single" w:sz="8" w:space="3" w:color="1B5E20"/>
          <w:right w:val="single" w:sz="8" w:space="3" w:color="1B5E20"/>
        </w:pBdr>
        <w:shd w:val="clear" w:color="auto" w:fill="F1F8E9"/>
      </w:pPr>
      <w:r>
        <w:rPr>
          <w:b/>
          <w:i w:val="0"/>
          <w:color w:val="1B5E20"/>
          <w:sz w:val="17"/>
        </w:rPr>
        <w:t>LUARAN KUNCI METODOLOGIS BAB 1:</w:t>
        <w:br/>
      </w:r>
      <w:r>
        <w:rPr>
          <w:b w:val="0"/>
          <w:i w:val="0"/>
          <w:color w:val="222222"/>
          <w:sz w:val="16"/>
        </w:rPr>
        <w:t>1. Dominasi Sektoral Ekstraktif: Klaster ekstraktif menguasai hingga 55,85% PDRB Sulteng dan 58,21× pertanian Morowali.</w:t>
        <w:br/>
        <w:t>2. Konsentrasi Spasial Ekstrem: 89,06% kapasitas PLTU captive batubara (9.825 MW) terkunci di koridor Morowali–Konawe.</w:t>
        <w:br/>
        <w:t>3. Kausalitas Signifikan: Penerbitan izin tambang baru terbukti meningkatkan risiko kehilangan hutan hingga 21,4× lipat (p &lt; 0,001).</w:t>
      </w:r>
    </w:p>
    <w:p>
      <w:pPr>
        <w:spacing w:before="60" w:after="100"/>
        <w:ind w:left="160"/>
        <w:pBdr>
          <w:left w:val="single" w:sz="12" w:space="6" w:color="2E7D32"/>
        </w:pBdr>
        <w:shd w:val="clear" w:color="auto" w:fill="F1F8E9"/>
      </w:pPr>
      <w:r>
        <w:rPr>
          <w:b w:val="0"/>
          <w:i/>
          <w:color w:val="555555"/>
          <w:sz w:val="16"/>
        </w:rPr>
        <w:t>Catatan Metodologis: Seluruh analisis statistik kuantitatif dalam dokumen ini dijalankan pada matriks data panel provinsi-tahun (N = 60 observasi) dan kabupaten sentra industri. Angka komputasi dan sebaran spasial terperinci terintegrasi penuh pada naskah laporan Bab 1 dan antarmuka interaktif dashboard CELIOS.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