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2E7D32"/>
          <w:sz w:val="15"/>
        </w:rPr>
        <w:t>CELIOS — CENTER OF ECONOMIC AND LAW STUDIES  |  LAPORAN RISET METODOLOGI D3TLH</w:t>
      </w:r>
    </w:p>
    <w:p>
      <w:pPr>
        <w:spacing w:before="60" w:after="30"/>
        <w:pBdr>
          <w:bottom w:val="single" w:sz="8" w:space="1" w:color="1B5E20"/>
        </w:pBdr>
      </w:pPr>
      <w:r>
        <w:rPr>
          <w:b/>
          <w:i w:val="0"/>
          <w:color w:val="1B5E20"/>
          <w:sz w:val="20"/>
        </w:rPr>
        <w:t>BAB I: METODOLOGI ANALISIS EKSPANSI INDUSTRI EKSTRAKTIF DAN INFRASTRUKTUR PENUNJANG DI PULAU SULAWESI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Dokumen laporan metodologi ini menyajikan kerangka ilmiah, landasan regulasi, formulasi matematis, prosedur analisis statistik, serta metodologi pembuktian berbasis data terbuka yang dioperasionalkan pada </w:t>
      </w:r>
      <w:r>
        <w:rPr>
          <w:b/>
          <w:i w:val="0"/>
          <w:color w:val="222222"/>
          <w:sz w:val="17"/>
        </w:rPr>
        <w:t>Bab 1: Ekspansi Industri Ekstraktif</w:t>
      </w:r>
      <w:r>
        <w:rPr>
          <w:b w:val="0"/>
          <w:i w:val="0"/>
          <w:color w:val="222222"/>
          <w:sz w:val="17"/>
        </w:rPr>
        <w:t xml:space="preserve"> dalam studi Daya Dukung dan Daya Tampung Lingkungan Hidup (D3TLH) Sulawesi periode 2014–2024.</w:t>
      </w:r>
    </w:p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1.1 Konteks Makro: Breakdown PDRB per Komoditas</w:t>
      </w:r>
    </w:p>
    <w:p>
      <w:pPr>
        <w:spacing w:before="50" w:after="20"/>
      </w:pPr>
      <w:r>
        <w:rPr>
          <w:b/>
          <w:i w:val="0"/>
          <w:color w:val="2E7D32"/>
          <w:sz w:val="17"/>
        </w:rPr>
        <w:t>1.1.1 Konteks Makro: Dominasi Ekstraktif vs Ekonomi Akar Rumput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Struktur Produk Domestik Regional Bruto (PDRB) enam provinsi Sulawesi (2016–2024) dianalisis menggunakan </w:t>
      </w:r>
      <w:r>
        <w:rPr>
          <w:b/>
          <w:i w:val="0"/>
          <w:color w:val="222222"/>
          <w:sz w:val="17"/>
        </w:rPr>
        <w:t>Stacked Area Chart</w:t>
      </w:r>
      <w:r>
        <w:rPr>
          <w:b w:val="0"/>
          <w:i w:val="0"/>
          <w:color w:val="222222"/>
          <w:sz w:val="17"/>
        </w:rPr>
        <w:t xml:space="preserve"> untuk menguji pergeseran sektor produktif lokal ke industri ekstraktif padat modal melalui pendekatan </w:t>
      </w:r>
      <w:r>
        <w:rPr>
          <w:b/>
          <w:i w:val="0"/>
          <w:color w:val="222222"/>
          <w:sz w:val="17"/>
        </w:rPr>
        <w:t>Legal Supply-Chain</w:t>
      </w:r>
      <w:r>
        <w:rPr>
          <w:b w:val="0"/>
          <w:i w:val="0"/>
          <w:color w:val="222222"/>
          <w:sz w:val="17"/>
        </w:rPr>
        <w:t xml:space="preserve"> (KBLI 2020).</w:t>
      </w:r>
    </w:p>
    <w:p>
      <w:pPr>
        <w:spacing w:before="20" w:after="40" w:line="252" w:lineRule="auto"/>
        <w:ind w:left="100"/>
        <w:pBdr>
          <w:left w:val="single" w:sz="10" w:space="4" w:color="2E7D32"/>
        </w:pBdr>
        <w:shd w:val="clear" w:color="auto" w:fill="F1F8E9"/>
      </w:pPr>
      <w:r>
        <w:rPr>
          <w:b/>
          <w:i w:val="0"/>
          <w:color w:val="1B5E20"/>
          <w:sz w:val="15"/>
        </w:rPr>
        <w:t xml:space="preserve">Sumber Data: </w:t>
      </w:r>
      <w:r>
        <w:rPr>
          <w:b w:val="0"/>
          <w:i/>
          <w:color w:val="333333"/>
          <w:sz w:val="15"/>
        </w:rPr>
        <w:t>BPS Provinsi se-Sulawesi (SIMDASI Subject 52 PDRB ADHB 2016–2024 diolah CELIOS).</w:t>
      </w:r>
    </w:p>
    <w:p>
      <w:pPr>
        <w:spacing w:before="40" w:after="20"/>
      </w:pPr>
      <w:r>
        <w:rPr>
          <w:b/>
          <w:i/>
          <w:color w:val="2E7D32"/>
          <w:sz w:val="15"/>
        </w:rPr>
        <w:t>Tabel 1.1: Reklasifikasi Sektoral PDRB KBLI 2020 Berdasarkan Pendekatan Rantai Pasok Hukum (Legal Supply-Chain)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76"/>
        <w:gridCol w:w="2176"/>
        <w:gridCol w:w="2176"/>
        <w:gridCol w:w="2176"/>
        <w:gridCol w:w="2176"/>
      </w:tblGrid>
      <w:tr>
        <w:tc>
          <w:tcPr>
            <w:tcW w:type="dxa" w:w="124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Kategori BPS</w:t>
            </w:r>
          </w:p>
        </w:tc>
        <w:tc>
          <w:tcPr>
            <w:tcW w:type="dxa" w:w="249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Sektor Lapangan Usaha</w:t>
            </w:r>
          </w:p>
        </w:tc>
        <w:tc>
          <w:tcPr>
            <w:tcW w:type="dxa" w:w="124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Klasifikasi</w:t>
            </w:r>
          </w:p>
        </w:tc>
        <w:tc>
          <w:tcPr>
            <w:tcW w:type="dxa" w:w="2381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Dasar Regulasi &amp; Mandat Hukum</w:t>
            </w:r>
          </w:p>
        </w:tc>
        <w:tc>
          <w:tcPr>
            <w:tcW w:type="dxa" w:w="3175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Intisari Ketentuan Hukum</w:t>
            </w:r>
          </w:p>
        </w:tc>
      </w:tr>
      <w:tr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B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Pertambangan dan Penggalian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Ekstraktif</w:t>
            </w:r>
          </w:p>
        </w:tc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Perpres No. 26/2010</w:t>
            </w:r>
          </w:p>
        </w:tc>
        <w:tc>
          <w:tcPr>
            <w:tcW w:type="dxa" w:w="3175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Pasal 1 Ayat (2) pengambilan komoditas tambang.</w:t>
            </w:r>
          </w:p>
        </w:tc>
      </w:tr>
      <w:tr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C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Industri Pengolahan (Smelter Logam)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Ekstraktif</w:t>
            </w:r>
          </w:p>
        </w:tc>
        <w:tc>
          <w:tcPr>
            <w:tcW w:type="dxa" w:w="238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UU No. 3/2020 &amp; PP 96/2021</w:t>
            </w:r>
          </w:p>
        </w:tc>
        <w:tc>
          <w:tcPr>
            <w:tcW w:type="dxa" w:w="3175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Pasal 102–103 kewajiban hilirisasi smelter terintegrasi tambang.</w:t>
            </w:r>
          </w:p>
        </w:tc>
      </w:tr>
      <w:tr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D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Pengadaan Listrik &amp; Gas (PLTU Captive)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Ekstraktif</w:t>
            </w:r>
          </w:p>
        </w:tc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Perpres No. 112/2022</w:t>
            </w:r>
          </w:p>
        </w:tc>
        <w:tc>
          <w:tcPr>
            <w:tcW w:type="dxa" w:w="3175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Pasal 3 Ayat (4) huruf b pengecualian PLTU off-grid khusus smelter.</w:t>
            </w:r>
          </w:p>
        </w:tc>
      </w:tr>
      <w:tr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A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Pertanian, Kehutanan, Perikanan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Akar Rumput</w:t>
            </w:r>
          </w:p>
        </w:tc>
        <w:tc>
          <w:tcPr>
            <w:tcW w:type="dxa" w:w="238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KBLI 2020 BPS</w:t>
            </w:r>
          </w:p>
        </w:tc>
        <w:tc>
          <w:tcPr>
            <w:tcW w:type="dxa" w:w="3175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Pemanfaatan sumber daya hayati terbarukan &amp; tenaga kerja lokal.</w:t>
            </w:r>
          </w:p>
        </w:tc>
      </w:tr>
      <w:tr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Kategori E–U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13 Sektor Jasa &amp; Konstruksi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Jasa &amp; Lainnya</w:t>
            </w:r>
          </w:p>
        </w:tc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Klasifikasi Standar BPS</w:t>
            </w:r>
          </w:p>
        </w:tc>
        <w:tc>
          <w:tcPr>
            <w:tcW w:type="dxa" w:w="3175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Sektor sekunder dan tersier penunjang perekonomian daerah.</w:t>
            </w:r>
          </w:p>
        </w:tc>
      </w:tr>
    </w:tbl>
    <w:p>
      <w:pPr>
        <w:spacing w:before="30" w:after="40" w:line="252" w:lineRule="auto"/>
        <w:ind w:left="100"/>
        <w:shd w:val="clear" w:color="auto" w:fill="EDF7EE"/>
        <w:pBdr>
          <w:left w:val="single" w:sz="12" w:space="4" w:color="2E7D32"/>
        </w:pBdr>
      </w:pPr>
      <w:r>
        <w:rPr>
          <w:b/>
          <w:i w:val="0"/>
          <w:color w:val="1B5E20"/>
          <w:sz w:val="15"/>
        </w:rPr>
        <w:t>Formulasi Matematis (Agregasi Rantai Pasok Hukum &amp; Pangsa PDRB):</w:t>
        <w:br/>
      </w:r>
      <w:r>
        <w:rPr>
          <w:rFonts w:ascii="Consolas" w:hAnsi="Consolas"/>
          <w:b w:val="0"/>
          <w:i w:val="0"/>
          <w:color w:val="104010"/>
          <w:sz w:val="14"/>
        </w:rPr>
        <w:t>Sektor Ekstraktif = PDRB Pertambangan (Kat. B) + PDRB Industri Pengolahan/Smelter (Kat. C) + PDRB Listrik/PLTU (Kat. D)</w:t>
        <w:br/>
        <w:t>Total PDRB = Sektor Ekstraktif + Sektor Akar Rumput (Kat. A) + Sektor Jasa &amp; Lainnya (Kat. E s.d. U)</w:t>
        <w:br/>
        <w:t>Pangsa Ekstraktif (%) = ( Sektor Ekstraktif ÷ Total PDRB ) × 100%</w:t>
        <w:br/>
        <w:t>Laju Pertumbuhan (%) = ( ( Nilai Tahun Ini - Nilai Tahun Sebelumnya ) ÷ Nilai Tahun Sebelumnya ) × 100%</w:t>
        <w:br/>
      </w:r>
      <w:r>
        <w:rPr>
          <w:b/>
          <w:i w:val="0"/>
          <w:color w:val="1B5E20"/>
          <w:sz w:val="15"/>
        </w:rPr>
        <w:t>Persamaan Substitusi:</w:t>
        <w:br/>
      </w:r>
      <w:r>
        <w:rPr>
          <w:rFonts w:ascii="Consolas" w:hAnsi="Consolas"/>
          <w:b w:val="0"/>
          <w:i w:val="0"/>
          <w:color w:val="222222"/>
          <w:sz w:val="14"/>
        </w:rPr>
        <w:t>Sektor Ekstraktif Sulteng 2024 = Rp28.450 M (Tambang) + Rp173.864 M (Smelter) + Rp8.200 M (Listrik) = Rp210.513,75 Miliar (Rp210,51 Triliun)</w:t>
        <w:br/>
        <w:t>Pangsa Ekstraktif 2024 = ( Rp210.513,75 Miliar ÷ Rp376.950,31 Miliar ) × 100% = 55,85%</w:t>
        <w:br/>
        <w:t>Laju Pertumbuhan = ( ( Rp210,51 T - Rp28,45 T ) ÷ Rp28,45 T ) × 100% = +639,93% (Meroket 7,40 Kali Lipat)</w:t>
      </w:r>
      <w:r>
        <w:rPr>
          <w:b w:val="0"/>
          <w:i/>
          <w:color w:val="555555"/>
          <w:sz w:val="14"/>
        </w:rPr>
        <w:br/>
        <w:t>Ket: Di Sulawesi Tengah, klaster ekstraktif menguasai 55,85% total PDRB 2024, sedangkan pertanian rakyat anjlok di bawah 18%.</w:t>
      </w:r>
    </w:p>
    <w:p>
      <w:pPr>
        <w:spacing w:before="50" w:after="20"/>
      </w:pPr>
      <w:r>
        <w:rPr>
          <w:b/>
          <w:i w:val="0"/>
          <w:color w:val="2E7D32"/>
          <w:sz w:val="17"/>
        </w:rPr>
        <w:t>1.1.2 Pemusatan Sektor Ekstraktif di Kabupaten se-Sulawesi Tengah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Dekomposisi spasial membongkar </w:t>
      </w:r>
      <w:r>
        <w:rPr>
          <w:b/>
          <w:i w:val="0"/>
          <w:color w:val="222222"/>
          <w:sz w:val="17"/>
        </w:rPr>
        <w:t>Bias Ilusi Agregat (Aggregate Illusion Bias)</w:t>
      </w:r>
      <w:r>
        <w:rPr>
          <w:b w:val="0"/>
          <w:i w:val="0"/>
          <w:color w:val="222222"/>
          <w:sz w:val="17"/>
        </w:rPr>
        <w:t xml:space="preserve">. Kabupaten </w:t>
      </w:r>
      <w:r>
        <w:rPr>
          <w:b/>
          <w:i w:val="0"/>
          <w:color w:val="222222"/>
          <w:sz w:val="17"/>
        </w:rPr>
        <w:t>Morowali</w:t>
      </w:r>
      <w:r>
        <w:rPr>
          <w:b w:val="0"/>
          <w:i w:val="0"/>
          <w:color w:val="222222"/>
          <w:sz w:val="17"/>
        </w:rPr>
        <w:t xml:space="preserve"> menghasilkan PDRB Rp 347,72 Triliun dengan sektor ekstraktif mencapai </w:t>
      </w:r>
      <w:r>
        <w:rPr>
          <w:b/>
          <w:i w:val="0"/>
          <w:color w:val="222222"/>
          <w:sz w:val="17"/>
        </w:rPr>
        <w:t>Rp 157,17 Triliun (45,20%)</w:t>
      </w:r>
      <w:r>
        <w:rPr>
          <w:b w:val="0"/>
          <w:i w:val="0"/>
          <w:color w:val="222222"/>
          <w:sz w:val="17"/>
        </w:rPr>
        <w:t>, melampaui gabungan total PDRB dari delapan kabupaten lainnya di Sulawesi Tengah.</w:t>
      </w:r>
    </w:p>
    <w:p>
      <w:pPr>
        <w:spacing w:before="40" w:after="20"/>
      </w:pPr>
      <w:r>
        <w:rPr>
          <w:b/>
          <w:i/>
          <w:color w:val="2E7D32"/>
          <w:sz w:val="15"/>
        </w:rPr>
        <w:t>Tabel 1.2: Matriks Polarisasi Sektoral PDRB Kabupaten di Sulawesi Tengah (Tahun 2024)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2608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Kabupaten / Tipologi</w:t>
            </w:r>
          </w:p>
        </w:tc>
        <w:tc>
          <w:tcPr>
            <w:tcW w:type="dxa" w:w="113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Akar Rumput (T Rp)</w:t>
            </w:r>
          </w:p>
        </w:tc>
        <w:tc>
          <w:tcPr>
            <w:tcW w:type="dxa" w:w="113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Ekstraktif (T Rp)</w:t>
            </w:r>
          </w:p>
        </w:tc>
        <w:tc>
          <w:tcPr>
            <w:tcW w:type="dxa" w:w="113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Jasa (T Rp)</w:t>
            </w:r>
          </w:p>
        </w:tc>
        <w:tc>
          <w:tcPr>
            <w:tcW w:type="dxa" w:w="124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Total PDRB (T Rp)</w:t>
            </w:r>
          </w:p>
        </w:tc>
        <w:tc>
          <w:tcPr>
            <w:tcW w:type="dxa" w:w="1020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Porsi Akar (%)</w:t>
            </w:r>
          </w:p>
        </w:tc>
        <w:tc>
          <w:tcPr>
            <w:tcW w:type="dxa" w:w="1020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Porsi Eks (%)</w:t>
            </w:r>
          </w:p>
        </w:tc>
        <w:tc>
          <w:tcPr>
            <w:tcW w:type="dxa" w:w="124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Basis Utama Ekonomi</w:t>
            </w:r>
          </w:p>
        </w:tc>
      </w:tr>
      <w:tr>
        <w:tc>
          <w:tcPr>
            <w:tcW w:type="dxa" w:w="260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Morowali (Sentra Smelter)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2.70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157.17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187.85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347.72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0.8%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45.2%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Hilirisasi Nikel (Smelter &amp; PLTU)</w:t>
            </w:r>
          </w:p>
        </w:tc>
      </w:tr>
      <w:tr>
        <w:tc>
          <w:tcPr>
            <w:tcW w:type="dxa" w:w="260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Morowali Utara (Sentra Smelter)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5.17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19.22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36.08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60.47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8.5%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31.8%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Hilirisasi Nikel (Smelter GNI)</w:t>
            </w:r>
          </w:p>
        </w:tc>
      </w:tr>
      <w:tr>
        <w:tc>
          <w:tcPr>
            <w:tcW w:type="dxa" w:w="260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Banggai (Sentra Migas/Tambang)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8.85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20.63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51.99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81.47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10.9%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25.3%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Migas, Tambang &amp; Perdagangan</w:t>
            </w:r>
          </w:p>
        </w:tc>
      </w:tr>
      <w:tr>
        <w:tc>
          <w:tcPr>
            <w:tcW w:type="dxa" w:w="260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Kota Palu (Pusat Jasa/Pemerintahan)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1.24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4.56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60.03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65.84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1.9%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6.9%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Jasa &amp; Perdagangan</w:t>
            </w:r>
          </w:p>
        </w:tc>
      </w:tr>
      <w:tr>
        <w:tc>
          <w:tcPr>
            <w:tcW w:type="dxa" w:w="260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9 Kab. Non-Sentra Lainnya (Rata-rata)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4.86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1.13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18.59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b w:val="0"/>
                <w:i w:val="0"/>
                <w:color w:val="222222"/>
                <w:sz w:val="14"/>
              </w:rPr>
              <w:t>24.58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21.3%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4.3%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Pertanian Rakyat &amp; Perikanan</w:t>
            </w:r>
          </w:p>
        </w:tc>
      </w:tr>
    </w:tbl>
    <w:p>
      <w:pPr>
        <w:spacing w:before="30" w:after="40" w:line="252" w:lineRule="auto"/>
        <w:ind w:left="100"/>
        <w:shd w:val="clear" w:color="auto" w:fill="EDF7EE"/>
        <w:pBdr>
          <w:left w:val="single" w:sz="12" w:space="4" w:color="2E7D32"/>
        </w:pBdr>
      </w:pPr>
      <w:r>
        <w:rPr>
          <w:b/>
          <w:i w:val="0"/>
          <w:color w:val="1B5E20"/>
          <w:sz w:val="15"/>
        </w:rPr>
        <w:t>Formulasi Matematis (Disparitas Spasial &amp; Rasio Kesenjangan Morowali):</w:t>
        <w:br/>
      </w:r>
      <w:r>
        <w:rPr>
          <w:rFonts w:ascii="Consolas" w:hAnsi="Consolas"/>
          <w:b w:val="0"/>
          <w:i w:val="0"/>
          <w:color w:val="104010"/>
          <w:sz w:val="14"/>
        </w:rPr>
        <w:t>Sektor Ekstraktif Kabupaten = PDRB Pertambangan + PDRB Industri Pengolahan + PDRB Listrik (level kabupaten)</w:t>
        <w:br/>
        <w:t>Porsi Sektor (%) = ( Nilai Sektor Kabupaten ÷ Total PDRB Kabupaten ) × 100%</w:t>
        <w:br/>
        <w:t>Rasio Kesenjangan = Sektor Ekstraktif Morowali ÷ Sektor Pertanian Rakyat Morowali</w:t>
        <w:br/>
      </w:r>
      <w:r>
        <w:rPr>
          <w:b/>
          <w:i w:val="0"/>
          <w:color w:val="1B5E20"/>
          <w:sz w:val="15"/>
        </w:rPr>
        <w:t>Persamaan Substitusi:</w:t>
        <w:br/>
      </w:r>
      <w:r>
        <w:rPr>
          <w:rFonts w:ascii="Consolas" w:hAnsi="Consolas"/>
          <w:b w:val="0"/>
          <w:i w:val="0"/>
          <w:color w:val="222222"/>
          <w:sz w:val="14"/>
        </w:rPr>
        <w:t>Sektor Ekstraktif Morowali = Rp29,20 T (Tambang) + Rp127,96 T (Smelter) = Rp157,17 Triliun (Porsi: 45,20%)</w:t>
        <w:br/>
        <w:t>Sektor Pertanian Rakyat Morowali = Rp2,70 Triliun (Porsi: 0,78%)</w:t>
        <w:br/>
        <w:t>Rasio Kesenjangan Morowali = Rp157,17 Triliun ÷ Rp2,70 Triliun = 58,21 Kali Lipat</w:t>
        <w:br/>
        <w:t>Komparasi Wilayah: Sektor ekstraktif Morowali (Rp157,17 T) &gt; Gabungan 8 Kabupaten Non-Sentra Sulteng (Rp115,22 T)</w:t>
      </w:r>
      <w:r>
        <w:rPr>
          <w:b w:val="0"/>
          <w:i/>
          <w:color w:val="555555"/>
          <w:sz w:val="14"/>
        </w:rPr>
        <w:br/>
        <w:t>Ket: Sektor pangan dan pertanian rakyat Morowali hanya tersisa 0,78% dari total kapasitas ekonomi daerah.</w:t>
      </w:r>
    </w:p>
    <w:p>
      <w:pPr>
        <w:spacing w:before="50" w:after="20"/>
      </w:pPr>
      <w:r>
        <w:rPr>
          <w:b/>
          <w:i w:val="0"/>
          <w:color w:val="2E7D32"/>
          <w:sz w:val="17"/>
        </w:rPr>
        <w:t>1.1.3 Perbandingan Distribusi 17 Sektor Komoditas per Provinsi (Small Multiples, Tahun Terbaru)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>Analisis komparatif Small Multiples membuktikan polarisasi regional: Sulawesi Tengah (44,1% smelter, 11,8% tambang) dan Sulawesi Tenggara (22,4% pertanian, 20,9% tambang) terpolarisasi ekstraktif, sementara empat provinsi lainnya (Sulsel, Sulut, Sulbar, Gorontalo) bertumpu pada pertanian dan jasa perdagangan (20,5% s.d. 38,2%).</w:t>
      </w:r>
    </w:p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1.2 Konsentrasi Kawasan Industri &amp; PLTU Captive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Operasi </w:t>
      </w:r>
      <w:r>
        <w:rPr>
          <w:b/>
          <w:i w:val="0"/>
          <w:color w:val="222222"/>
          <w:sz w:val="17"/>
        </w:rPr>
        <w:t>778 unit smelter</w:t>
      </w:r>
      <w:r>
        <w:rPr>
          <w:b w:val="0"/>
          <w:i w:val="0"/>
          <w:color w:val="222222"/>
          <w:sz w:val="17"/>
        </w:rPr>
        <w:t xml:space="preserve"> di Sulawesi ditopang oleh </w:t>
      </w:r>
      <w:r>
        <w:rPr>
          <w:b/>
          <w:i w:val="0"/>
          <w:color w:val="222222"/>
          <w:sz w:val="17"/>
        </w:rPr>
        <w:t>9.825 MW PLTU Captive batu bara off-grid</w:t>
      </w:r>
      <w:r>
        <w:rPr>
          <w:b w:val="0"/>
          <w:i w:val="0"/>
          <w:color w:val="222222"/>
          <w:sz w:val="17"/>
        </w:rPr>
        <w:t xml:space="preserve"> (ESDM &amp; GEM). Uji tabulasi silang SPSS (N=60) mengonfirmasi pemusatan energi fosil berkorelasi erat dengan eskalasi deforestasi tapak industri.</w:t>
      </w:r>
    </w:p>
    <w:p>
      <w:pPr>
        <w:spacing w:before="30" w:after="40" w:line="252" w:lineRule="auto"/>
        <w:ind w:left="100"/>
        <w:shd w:val="clear" w:color="auto" w:fill="EDF7EE"/>
        <w:pBdr>
          <w:left w:val="single" w:sz="12" w:space="4" w:color="2E7D32"/>
        </w:pBdr>
      </w:pPr>
      <w:r>
        <w:rPr>
          <w:b/>
          <w:i w:val="0"/>
          <w:color w:val="1B5E20"/>
          <w:sz w:val="15"/>
        </w:rPr>
        <w:t>Formulasi Matematis (Konsentrasi Spasial Energi PLTU Captive):</w:t>
        <w:br/>
      </w:r>
      <w:r>
        <w:rPr>
          <w:rFonts w:ascii="Consolas" w:hAnsi="Consolas"/>
          <w:b w:val="0"/>
          <w:i w:val="0"/>
          <w:color w:val="104010"/>
          <w:sz w:val="14"/>
        </w:rPr>
        <w:t>Porsi Konsentrasi (%) = ( Kapasitas PLTU Wilayah Sentra ÷ Total Kapasitas se-Sulawesi ) × 100%</w:t>
        <w:br/>
        <w:t>Chi-Square (χ²) = Jumlah dari [ ( Frekuensi Observasi - Frekuensi Harapan )² ÷ Frekuensi Harapan ]  |  Odds Ratio (OR) = ( a × d ) ÷ ( b × c )</w:t>
        <w:br/>
      </w:r>
      <w:r>
        <w:rPr>
          <w:b/>
          <w:i w:val="0"/>
          <w:color w:val="1B5E20"/>
          <w:sz w:val="15"/>
        </w:rPr>
        <w:t>Persamaan Substitusi:</w:t>
        <w:br/>
      </w:r>
      <w:r>
        <w:rPr>
          <w:rFonts w:ascii="Consolas" w:hAnsi="Consolas"/>
          <w:b w:val="0"/>
          <w:i w:val="0"/>
          <w:color w:val="222222"/>
          <w:sz w:val="14"/>
        </w:rPr>
        <w:t>Konsentrasi Morowali + Konawe = ( 8.750 MW ÷ 9.825 MW ) × 100% = 89,06% Daya Terkunci</w:t>
      </w:r>
      <w:r>
        <w:rPr>
          <w:b w:val="0"/>
          <w:i/>
          <w:color w:val="555555"/>
          <w:sz w:val="14"/>
        </w:rPr>
        <w:br/>
        <w:t>Ket: Hasil pengujian statistik tabulasi silang (Chi-Square &amp; Odds Ratio) dirinci secara komprehensif pada Tabel 1.4, dengan konfigurasi variabel uji pada Tabel 1.3.</w:t>
      </w:r>
    </w:p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1.3 Tren Pertumbuhan Izin Tambang Baru &amp; Uji Signifikansi Statistik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Pangkalan data Minerbaone mencatat penerbitan </w:t>
      </w:r>
      <w:r>
        <w:rPr>
          <w:b/>
          <w:i w:val="0"/>
          <w:color w:val="222222"/>
          <w:sz w:val="17"/>
        </w:rPr>
        <w:t>574 Izin Usaha Pertambangan (IUP) baru</w:t>
      </w:r>
      <w:r>
        <w:rPr>
          <w:b w:val="0"/>
          <w:i w:val="0"/>
          <w:color w:val="222222"/>
          <w:sz w:val="17"/>
        </w:rPr>
        <w:t xml:space="preserve"> sepanjang 2014–2024 seluas </w:t>
      </w:r>
      <w:r>
        <w:rPr>
          <w:b/>
          <w:i w:val="0"/>
          <w:color w:val="222222"/>
          <w:sz w:val="17"/>
        </w:rPr>
        <w:t>819.452 Hektar</w:t>
      </w:r>
      <w:r>
        <w:rPr>
          <w:b w:val="0"/>
          <w:i w:val="0"/>
          <w:color w:val="222222"/>
          <w:sz w:val="17"/>
        </w:rPr>
        <w:t xml:space="preserve">, dengan lonjakan penerbitan mencapai </w:t>
      </w:r>
      <w:r>
        <w:rPr>
          <w:b/>
          <w:i w:val="0"/>
          <w:color w:val="222222"/>
          <w:sz w:val="17"/>
        </w:rPr>
        <w:t>246% pada periode 2022–2024</w:t>
      </w:r>
      <w:r>
        <w:rPr>
          <w:b w:val="0"/>
          <w:i w:val="0"/>
          <w:color w:val="222222"/>
          <w:sz w:val="17"/>
        </w:rPr>
        <w:t>. Uji inferensial Chi-Square membuktikan laju perizinan berhubungan positif signifikan dengan deforestasi alam dan komoditas.</w:t>
      </w:r>
    </w:p>
    <w:p>
      <w:pPr>
        <w:spacing w:before="30" w:after="40" w:line="252" w:lineRule="auto"/>
        <w:ind w:left="100"/>
        <w:shd w:val="clear" w:color="auto" w:fill="EDF7EE"/>
        <w:pBdr>
          <w:left w:val="single" w:sz="12" w:space="4" w:color="2E7D32"/>
        </w:pBdr>
      </w:pPr>
      <w:r>
        <w:rPr>
          <w:b/>
          <w:i w:val="0"/>
          <w:color w:val="1B5E20"/>
          <w:sz w:val="15"/>
        </w:rPr>
        <w:t>Formulasi Matematis (Laju Pertumbuhan Izin &amp; Alih Fungsi Ruang):</w:t>
        <w:br/>
      </w:r>
      <w:r>
        <w:rPr>
          <w:rFonts w:ascii="Consolas" w:hAnsi="Consolas"/>
          <w:b w:val="0"/>
          <w:i w:val="0"/>
          <w:color w:val="104010"/>
          <w:sz w:val="14"/>
        </w:rPr>
        <w:t>Pertumbuhan Izin (%) = ( ( Izin Tahun Ini - Izin Tahun Sebelumnya ) ÷ Izin Tahun Sebelumnya ) × 100%</w:t>
        <w:br/>
        <w:t>Laju Alih Ruang Harian = Total Luas Konsesi 10 Tahun ÷ 3.650 Hari</w:t>
        <w:br/>
        <w:t>Chi-Square (χ²) = Jumlah dari [ ( Frekuensi Observasi - Frekuensi Harapan )² ÷ Frekuensi Harapan ]  |  Odds Ratio (OR) = ( a × d ) ÷ ( b × c )</w:t>
        <w:br/>
      </w:r>
      <w:r>
        <w:rPr>
          <w:b/>
          <w:i w:val="0"/>
          <w:color w:val="1B5E20"/>
          <w:sz w:val="15"/>
        </w:rPr>
        <w:t>Persamaan Substitusi:</w:t>
        <w:br/>
      </w:r>
      <w:r>
        <w:rPr>
          <w:rFonts w:ascii="Consolas" w:hAnsi="Consolas"/>
          <w:b w:val="0"/>
          <w:i w:val="0"/>
          <w:color w:val="222222"/>
          <w:sz w:val="14"/>
        </w:rPr>
        <w:t>Lonjakan IUP 2022–2024 = ( ( 194 izin - 56 izin ) ÷ 56 izin ) × 100% = +246,43%</w:t>
        <w:br/>
        <w:t>Laju Alih Ruang = 819.452,54 Ha ÷ 3.650 Hari = 224,51 Hektar/Hari (Setara 314 Lapangan Bola/Hari)</w:t>
      </w:r>
      <w:r>
        <w:rPr>
          <w:b w:val="0"/>
          <w:i/>
          <w:color w:val="555555"/>
          <w:sz w:val="14"/>
        </w:rPr>
        <w:br/>
        <w:t>Ket: Hasil pengujian statistik tabulasi silang (Chi-Square &amp; Odds Ratio) dirinci secara komprehensif pada Tabel 1.4, dengan konfigurasi variabel uji pada Tabel 1.3.</w:t>
      </w:r>
    </w:p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1.4 Analisis Realisasi Investasi PMDN dan Dampak Terhadap Tutupan Hutan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 xml:space="preserve">Realisasi Penanaman Modal Dalam Negeri (PMDN) sebesar </w:t>
      </w:r>
      <w:r>
        <w:rPr>
          <w:b/>
          <w:i w:val="0"/>
          <w:color w:val="222222"/>
          <w:sz w:val="17"/>
        </w:rPr>
        <w:t>Rp 218 Triliun</w:t>
      </w:r>
      <w:r>
        <w:rPr>
          <w:b w:val="0"/>
          <w:i w:val="0"/>
          <w:color w:val="222222"/>
          <w:sz w:val="17"/>
        </w:rPr>
        <w:t xml:space="preserve"> (BKPM 2016–2024) berbanding lurus dengan </w:t>
      </w:r>
      <w:r>
        <w:rPr>
          <w:b/>
          <w:i w:val="0"/>
          <w:color w:val="222222"/>
          <w:sz w:val="17"/>
        </w:rPr>
        <w:t>1.001.654 Hektar</w:t>
      </w:r>
      <w:r>
        <w:rPr>
          <w:b w:val="0"/>
          <w:i w:val="0"/>
          <w:color w:val="222222"/>
          <w:sz w:val="17"/>
        </w:rPr>
        <w:t xml:space="preserve"> kehilangan tutupan hutan komoditas (GFW). Pembedahan data GFW Driver Classification (2001–2025) membuktikan sektor ekstraktif menyumbang </w:t>
      </w:r>
      <w:r>
        <w:rPr>
          <w:b/>
          <w:i w:val="0"/>
          <w:color w:val="222222"/>
          <w:sz w:val="17"/>
        </w:rPr>
        <w:t>48,4% (1.890.659 Ha)</w:t>
      </w:r>
      <w:r>
        <w:rPr>
          <w:b w:val="0"/>
          <w:i w:val="0"/>
          <w:color w:val="222222"/>
          <w:sz w:val="17"/>
        </w:rPr>
        <w:t xml:space="preserve"> dari total 3.904.079 Ha kehilangan hutan primer Sulawesi (emisi: 1,28 Miliar Mg CO2), sedangkan perladangan rakyat hanya 2,9% (115.404 Ha).</w:t>
      </w:r>
    </w:p>
    <w:p>
      <w:pPr>
        <w:spacing w:before="30" w:after="40" w:line="252" w:lineRule="auto"/>
        <w:ind w:left="100"/>
        <w:shd w:val="clear" w:color="auto" w:fill="EDF7EE"/>
        <w:pBdr>
          <w:left w:val="single" w:sz="12" w:space="4" w:color="2E7D32"/>
        </w:pBdr>
      </w:pPr>
      <w:r>
        <w:rPr>
          <w:b/>
          <w:i w:val="0"/>
          <w:color w:val="1B5E20"/>
          <w:sz w:val="15"/>
        </w:rPr>
        <w:t>Formulasi Matematis (Konsentrasi Modal PMDN &amp; Atribusi Deforestasi Komoditas):</w:t>
        <w:br/>
      </w:r>
      <w:r>
        <w:rPr>
          <w:rFonts w:ascii="Consolas" w:hAnsi="Consolas"/>
          <w:b w:val="0"/>
          <w:i w:val="0"/>
          <w:color w:val="104010"/>
          <w:sz w:val="14"/>
        </w:rPr>
        <w:t>Konsentrasi PMDN (%) = ( PMDN 3 Provinsi Sentra ÷ Total PMDN Sulawesi ) × 100%</w:t>
        <w:br/>
        <w:t>Rasio Kerusakan = Deforestasi Komoditas (Tambang/Sawit) ÷ Deforestasi Pertanian Rakyat</w:t>
        <w:br/>
        <w:t>Chi-Square (χ²) = Jumlah dari [ ( Frekuensi Observasi - Frekuensi Harapan )² ÷ Frekuensi Harapan ]  |  Odds Ratio (OR) = ( a × d ) ÷ ( b × c )</w:t>
        <w:br/>
      </w:r>
      <w:r>
        <w:rPr>
          <w:b/>
          <w:i w:val="0"/>
          <w:color w:val="1B5E20"/>
          <w:sz w:val="15"/>
        </w:rPr>
        <w:t>Persamaan Substitusi:</w:t>
        <w:br/>
      </w:r>
      <w:r>
        <w:rPr>
          <w:rFonts w:ascii="Consolas" w:hAnsi="Consolas"/>
          <w:b w:val="0"/>
          <w:i w:val="0"/>
          <w:color w:val="222222"/>
          <w:sz w:val="14"/>
        </w:rPr>
        <w:t>Konsentrasi PMDN = ( Rp194,89 Triliun ÷ Rp218,98 Triliun ) × 100% = 89,00% Tertumpuk di Sulteng, Sultra, Sulsel</w:t>
        <w:br/>
        <w:t>Rasio Kerusakan = 1.001.654 Ha (Tambang/Sawit) ÷ 55.905 Ha (Pertanian Rakyat) = 17,92 Kali Lipat Lebih Masif</w:t>
      </w:r>
      <w:r>
        <w:rPr>
          <w:b w:val="0"/>
          <w:i/>
          <w:color w:val="555555"/>
          <w:sz w:val="14"/>
        </w:rPr>
        <w:br/>
        <w:t>Ket: Hasil pengujian statistik tabulasi silang (Chi-Square &amp; Odds Ratio) dirinci secara komprehensif pada Tabel 1.4, dengan konfigurasi variabel uji pada Tabel 1.3.</w:t>
      </w:r>
    </w:p>
    <w:p>
      <w:pPr>
        <w:spacing w:before="40" w:after="20"/>
      </w:pPr>
      <w:r>
        <w:rPr>
          <w:b/>
          <w:i/>
          <w:color w:val="2E7D32"/>
          <w:sz w:val="15"/>
        </w:rPr>
        <w:t>Tabel 1.3: Konfigurasi Variabel Uji Tabulasi Silang (Crosstab) Bab 1 — Skenario Sub-bab 1.2, 1.3, dan 1.4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c>
          <w:tcPr>
            <w:tcW w:type="dxa" w:w="181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Komponen Uji</w:t>
            </w:r>
          </w:p>
        </w:tc>
        <w:tc>
          <w:tcPr>
            <w:tcW w:type="dxa" w:w="2891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1.2 PLTU Captive vs Deforestasi</w:t>
            </w:r>
          </w:p>
        </w:tc>
        <w:tc>
          <w:tcPr>
            <w:tcW w:type="dxa" w:w="2948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1.3 Izin Tambang vs Deforestasi</w:t>
            </w:r>
          </w:p>
        </w:tc>
        <w:tc>
          <w:tcPr>
            <w:tcW w:type="dxa" w:w="2891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1.4 Investasi PMDN vs Deforestasi</w:t>
            </w:r>
          </w:p>
        </w:tc>
      </w:tr>
      <w:tr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Variabel Independen (X)</w:t>
            </w:r>
          </w:p>
        </w:tc>
        <w:tc>
          <w:tcPr>
            <w:tcW w:type="dxa" w:w="289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Kapasitas PLTU Captive (MW)</w:t>
            </w:r>
          </w:p>
        </w:tc>
        <w:tc>
          <w:tcPr>
            <w:tcW w:type="dxa" w:w="294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Frekuensi IUP Baru (Unit) / Luas Konsesi Baru (Ha)</w:t>
            </w:r>
          </w:p>
        </w:tc>
        <w:tc>
          <w:tcPr>
            <w:tcW w:type="dxa" w:w="289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Realisasi Investasi PMDN (Juta Rp)</w:t>
            </w:r>
          </w:p>
        </w:tc>
      </w:tr>
      <w:tr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Variabel Dependen (Y)</w:t>
            </w:r>
          </w:p>
        </w:tc>
        <w:tc>
          <w:tcPr>
            <w:tcW w:type="dxa" w:w="289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 (Ha)</w:t>
            </w:r>
          </w:p>
        </w:tc>
        <w:tc>
          <w:tcPr>
            <w:tcW w:type="dxa" w:w="294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Deforestasi Komoditas (Ha) / Total Deforestasi Alam (Ha)</w:t>
            </w:r>
          </w:p>
        </w:tc>
        <w:tc>
          <w:tcPr>
            <w:tcW w:type="dxa" w:w="289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Total Deforestasi Alam (Ha) / Deforestasi Komoditas (Ha)</w:t>
            </w:r>
          </w:p>
        </w:tc>
      </w:tr>
      <w:tr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Hipotesis Alternatif (H1)</w:t>
            </w:r>
          </w:p>
        </w:tc>
        <w:tc>
          <w:tcPr>
            <w:tcW w:type="dxa" w:w="289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Ekspansi PLTU Captive berkorelasi positif dengan lonjakan deforestasi komoditas</w:t>
            </w:r>
          </w:p>
        </w:tc>
        <w:tc>
          <w:tcPr>
            <w:tcW w:type="dxa" w:w="294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Tingginya penerbitan izin / luas konsesi berhubungan positif dengan laju deforestasi</w:t>
            </w:r>
          </w:p>
        </w:tc>
        <w:tc>
          <w:tcPr>
            <w:tcW w:type="dxa" w:w="289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Tingginya realisasi investasi PMDN berhubungan positif dengan laju deforestasi</w:t>
            </w:r>
          </w:p>
        </w:tc>
      </w:tr>
      <w:tr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Decision Rule (Alpha 5%)</w:t>
            </w:r>
          </w:p>
        </w:tc>
        <w:tc>
          <w:tcPr>
            <w:tcW w:type="dxa" w:w="289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Tolak H0 jika P-Value &lt; 0.05</w:t>
            </w:r>
          </w:p>
        </w:tc>
        <w:tc>
          <w:tcPr>
            <w:tcW w:type="dxa" w:w="294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Tolak H0 jika P-Value &lt; 0.05</w:t>
            </w:r>
          </w:p>
        </w:tc>
        <w:tc>
          <w:tcPr>
            <w:tcW w:type="dxa" w:w="289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Tolak H0 jika P-Value &lt; 0.05</w:t>
            </w:r>
          </w:p>
        </w:tc>
      </w:tr>
      <w:tr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Threshold Kategori (Median Panel)</w:t>
            </w:r>
          </w:p>
        </w:tc>
        <w:tc>
          <w:tcPr>
            <w:tcW w:type="dxa" w:w="289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X &gt; 0 MW (PLTU aktif); Y &gt;= 10,961.8 Ha (N=60)</w:t>
            </w:r>
          </w:p>
        </w:tc>
        <w:tc>
          <w:tcPr>
            <w:tcW w:type="dxa" w:w="294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X &gt;= 2.0 izin; Y &gt;= 10,961.8 Ha (N=60)</w:t>
            </w:r>
          </w:p>
        </w:tc>
        <w:tc>
          <w:tcPr>
            <w:tcW w:type="dxa" w:w="289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X &gt; 3,146.4 Juta Rp; Y &gt;= 10,451.7 Ha (N=48)</w:t>
            </w:r>
          </w:p>
        </w:tc>
      </w:tr>
      <w:tr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Orientasi Odds Ratio</w:t>
            </w:r>
          </w:p>
        </w:tc>
        <w:tc>
          <w:tcPr>
            <w:tcW w:type="dxa" w:w="289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a = PLTU Tinggi &amp; Deforestasi Tinggi (risiko lonjakan deforestasi)</w:t>
            </w:r>
          </w:p>
        </w:tc>
        <w:tc>
          <w:tcPr>
            <w:tcW w:type="dxa" w:w="294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a = Izin Tinggi &amp; Deforestasi Tinggi (risiko deforestasi tinggi)</w:t>
            </w:r>
          </w:p>
        </w:tc>
        <w:tc>
          <w:tcPr>
            <w:tcW w:type="dxa" w:w="289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a = Investasi Tinggi &amp; Deforestasi Tinggi (risiko deforestasi tinggi)</w:t>
            </w:r>
          </w:p>
        </w:tc>
      </w:tr>
    </w:tbl>
    <w:p>
      <w:pPr>
        <w:spacing w:before="40" w:after="20"/>
      </w:pPr>
      <w:r>
        <w:rPr>
          <w:b/>
          <w:i/>
          <w:color w:val="2E7D32"/>
          <w:sz w:val="15"/>
        </w:rPr>
        <w:t>Tabel 1.4: Ringkasan Hasil Uji Independensi Chi-Square (χ²) dan Odds Ratio (OR) Data Panel Bab 1 (N=60)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4"/>
        <w:gridCol w:w="1554"/>
        <w:gridCol w:w="1554"/>
        <w:gridCol w:w="1554"/>
        <w:gridCol w:w="1554"/>
        <w:gridCol w:w="1554"/>
        <w:gridCol w:w="1554"/>
      </w:tblGrid>
      <w:tr>
        <w:tc>
          <w:tcPr>
            <w:tcW w:type="dxa" w:w="2381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Faktor Tekanan Industri (X)</w:t>
            </w:r>
          </w:p>
        </w:tc>
        <w:tc>
          <w:tcPr>
            <w:tcW w:type="dxa" w:w="249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Indikator Dampak Lingkungan (Y)</w:t>
            </w:r>
          </w:p>
        </w:tc>
        <w:tc>
          <w:tcPr>
            <w:tcW w:type="dxa" w:w="113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Chi-Square (χ²)</w:t>
            </w:r>
          </w:p>
        </w:tc>
        <w:tc>
          <w:tcPr>
            <w:tcW w:type="dxa" w:w="113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P-Value</w:t>
            </w:r>
          </w:p>
        </w:tc>
        <w:tc>
          <w:tcPr>
            <w:tcW w:type="dxa" w:w="1020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Odds Ratio</w:t>
            </w:r>
          </w:p>
        </w:tc>
        <w:tc>
          <w:tcPr>
            <w:tcW w:type="dxa" w:w="56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df</w:t>
            </w:r>
          </w:p>
        </w:tc>
        <w:tc>
          <w:tcPr>
            <w:tcW w:type="dxa" w:w="181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Kesimpulan Ilmiah</w:t>
            </w:r>
          </w:p>
        </w:tc>
      </w:tr>
      <w:tr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Kapasitas PLTU Captive (MW)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 (≥10,961 Ha)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18.049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&lt; 0.0001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18.00x</w:t>
            </w:r>
          </w:p>
        </w:tc>
        <w:tc>
          <w:tcPr>
            <w:tcW w:type="dxa" w:w="56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SIGNIFIKAN (Risiko 18x Lipat)</w:t>
            </w:r>
          </w:p>
        </w:tc>
      </w:tr>
      <w:tr>
        <w:tc>
          <w:tcPr>
            <w:tcW w:type="dxa" w:w="238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Jumlah IUP Tambang Baru (Unit)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Total Deforestasi Alam (Ha)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17.239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&lt; 0.0001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13.75x</w:t>
            </w:r>
          </w:p>
        </w:tc>
        <w:tc>
          <w:tcPr>
            <w:tcW w:type="dxa" w:w="56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SIGNIFIKAN (Risiko 13.7x Lipat)</w:t>
            </w:r>
          </w:p>
        </w:tc>
      </w:tr>
      <w:tr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Jumlah IUP Tambang Baru (Unit)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 (Ha)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21.818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&lt; 0.0001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21.36x</w:t>
            </w:r>
          </w:p>
        </w:tc>
        <w:tc>
          <w:tcPr>
            <w:tcW w:type="dxa" w:w="56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SIGNIFIKAN (Risiko 21.4x Lipat)</w:t>
            </w:r>
          </w:p>
        </w:tc>
      </w:tr>
      <w:tr>
        <w:tc>
          <w:tcPr>
            <w:tcW w:type="dxa" w:w="238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Luas Konsesi Tambang Baru (Ha)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 (Ha)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19.267</w:t>
            </w:r>
          </w:p>
        </w:tc>
        <w:tc>
          <w:tcPr>
            <w:tcW w:type="dxa" w:w="113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&lt; 0.0001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16.00x</w:t>
            </w:r>
          </w:p>
        </w:tc>
        <w:tc>
          <w:tcPr>
            <w:tcW w:type="dxa" w:w="56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SIGNIFIKAN (Risiko 16.0x Lipat)</w:t>
            </w:r>
          </w:p>
        </w:tc>
      </w:tr>
      <w:tr>
        <w:tc>
          <w:tcPr>
            <w:tcW w:type="dxa" w:w="238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Realisasi Investasi PMDN (Juta Rp)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 (Ha)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2.083</w:t>
            </w:r>
          </w:p>
        </w:tc>
        <w:tc>
          <w:tcPr>
            <w:tcW w:type="dxa" w:w="113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 = 0.1489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2.80x</w:t>
            </w:r>
          </w:p>
        </w:tc>
        <w:tc>
          <w:tcPr>
            <w:tcW w:type="dxa" w:w="56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TIDAK SIGNIFIKAN (Efek Time-Lag)</w:t>
            </w:r>
          </w:p>
        </w:tc>
      </w:tr>
    </w:tbl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1.5 Pelabuhan Ekspor &amp; Peta Jalur Distribusi Logistik Nikel Sulawesi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>Eksploitasi nikel terhubung langsung ke pasar global melalui 6 simpul pelabuhan samudera dan terminal khusus utama di pesisir Sulawesi yang diverifikasi melalui triangulasi Laporan KNKT, Regulasi PSN (Perpres No. 109/2020), dan laporan emiten.</w:t>
      </w:r>
    </w:p>
    <w:p>
      <w:pPr>
        <w:spacing w:before="40" w:after="20"/>
      </w:pPr>
      <w:r>
        <w:rPr>
          <w:b/>
          <w:i/>
          <w:color w:val="2E7D32"/>
          <w:sz w:val="15"/>
        </w:rPr>
        <w:t>Tabel 1.5: Inventarisasi Enam Simpul Pelabuhan dan Terminal Khusus Ekspor Nikel di Pulau Sulawesi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58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Kawasan Industri</w:t>
            </w:r>
          </w:p>
        </w:tc>
        <w:tc>
          <w:tcPr>
            <w:tcW w:type="dxa" w:w="181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Wilayah Administrasi</w:t>
            </w:r>
          </w:p>
        </w:tc>
        <w:tc>
          <w:tcPr>
            <w:tcW w:type="dxa" w:w="249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Fasilitas Pelabuhan / Terminal</w:t>
            </w:r>
          </w:p>
        </w:tc>
        <w:tc>
          <w:tcPr>
            <w:tcW w:type="dxa" w:w="158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Status Regulasi</w:t>
            </w:r>
          </w:p>
        </w:tc>
        <w:tc>
          <w:tcPr>
            <w:tcW w:type="dxa" w:w="124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Kapasitas Kapal</w:t>
            </w:r>
          </w:p>
        </w:tc>
        <w:tc>
          <w:tcPr>
            <w:tcW w:type="dxa" w:w="181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Tujuan Utama Ekspor</w:t>
            </w:r>
          </w:p>
        </w:tc>
      </w:tr>
      <w:tr>
        <w:tc>
          <w:tcPr>
            <w:tcW w:type="dxa" w:w="158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IMIP Morowali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Morowali, Sulteng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Pelabuhan Samudera &amp; Dermaga Curah</w:t>
            </w:r>
          </w:p>
        </w:tc>
        <w:tc>
          <w:tcPr>
            <w:tcW w:type="dxa" w:w="158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PSN (Perpres 109/2020)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52.378 DWT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Pasar Global (Tiongkok)</w:t>
            </w:r>
          </w:p>
        </w:tc>
      </w:tr>
      <w:tr>
        <w:tc>
          <w:tcPr>
            <w:tcW w:type="dxa" w:w="158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GNI Morowali Utara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Morowali Utara, Sulteng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Terminal Khusus Pesisir Tomori</w:t>
            </w:r>
          </w:p>
        </w:tc>
        <w:tc>
          <w:tcPr>
            <w:tcW w:type="dxa" w:w="158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Izin Industri Mandiri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30.000 DWT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Pasar Global (Tiongkok)</w:t>
            </w:r>
          </w:p>
        </w:tc>
      </w:tr>
      <w:tr>
        <w:tc>
          <w:tcPr>
            <w:tcW w:type="dxa" w:w="158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VDNI Konawe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Konawe, Sultra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Dermaga Khusus Curah &amp; Kargo</w:t>
            </w:r>
          </w:p>
        </w:tc>
        <w:tc>
          <w:tcPr>
            <w:tcW w:type="dxa" w:w="158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PSN (Perpres 109/2020)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50.000 DWT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Pasar Global (Tiongkok)</w:t>
            </w:r>
          </w:p>
        </w:tc>
      </w:tr>
      <w:tr>
        <w:tc>
          <w:tcPr>
            <w:tcW w:type="dxa" w:w="158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OSS Konawe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Konawe, Sultra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Dermaga Terintegrasi Konawe</w:t>
            </w:r>
          </w:p>
        </w:tc>
        <w:tc>
          <w:tcPr>
            <w:tcW w:type="dxa" w:w="158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PSN (Perpres 109/2020)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50.000 DWT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Pasar Global (Tiongkok)</w:t>
            </w:r>
          </w:p>
        </w:tc>
      </w:tr>
      <w:tr>
        <w:tc>
          <w:tcPr>
            <w:tcW w:type="dxa" w:w="158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Pomalaa (ANTAM)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Kolaka, Sultra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Dermaga Pomalaa &amp; Konveyor</w:t>
            </w:r>
          </w:p>
        </w:tc>
        <w:tc>
          <w:tcPr>
            <w:tcW w:type="dxa" w:w="158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Kawasan BUMN Industri</w:t>
            </w:r>
          </w:p>
        </w:tc>
        <w:tc>
          <w:tcPr>
            <w:tcW w:type="dxa" w:w="124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12.000 DWT</w:t>
            </w:r>
          </w:p>
        </w:tc>
        <w:tc>
          <w:tcPr>
            <w:tcW w:type="dxa" w:w="181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Jepang &amp; Korsel</w:t>
            </w:r>
          </w:p>
        </w:tc>
      </w:tr>
      <w:tr>
        <w:tc>
          <w:tcPr>
            <w:tcW w:type="dxa" w:w="158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Sorowako (Vale)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Luwu Timur, Sulsel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Pelabuhan Balantang Malili</w:t>
            </w:r>
          </w:p>
        </w:tc>
        <w:tc>
          <w:tcPr>
            <w:tcW w:type="dxa" w:w="158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Kontrak Karya Tambang</w:t>
            </w:r>
          </w:p>
        </w:tc>
        <w:tc>
          <w:tcPr>
            <w:tcW w:type="dxa" w:w="124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Hingga 15.000 DWT</w:t>
            </w:r>
          </w:p>
        </w:tc>
        <w:tc>
          <w:tcPr>
            <w:tcW w:type="dxa" w:w="181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Jepang &amp; Skandinavia</w:t>
            </w:r>
          </w:p>
        </w:tc>
      </w:tr>
    </w:tbl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1.6 Peta Jalur Distribusi Logistik Nikel Sulawesi</w:t>
      </w:r>
    </w:p>
    <w:p>
      <w:pPr>
        <w:spacing w:before="0" w:after="40" w:line="252" w:lineRule="auto"/>
        <w:jc w:val="both"/>
      </w:pPr>
      <w:r>
        <w:rPr>
          <w:b w:val="0"/>
          <w:i w:val="0"/>
          <w:color w:val="222222"/>
          <w:sz w:val="17"/>
        </w:rPr>
        <w:t>Pemodelan spasial alur pelayaran kargo nikel dari 6 pelabuhan muat Sulawesi menuju negara tujuan utama (Tiongkok, Jepang, Korea Selatan) dikonstruksi menggunakan kurva parametrik Bézier untuk merepresentasikan jarak tempuh aktual di permukaan bumi.</w:t>
      </w:r>
    </w:p>
    <w:p>
      <w:pPr>
        <w:spacing w:before="30" w:after="40" w:line="252" w:lineRule="auto"/>
        <w:ind w:left="100"/>
        <w:shd w:val="clear" w:color="auto" w:fill="EDF7EE"/>
        <w:pBdr>
          <w:left w:val="single" w:sz="12" w:space="4" w:color="2E7D32"/>
        </w:pBdr>
      </w:pPr>
      <w:r>
        <w:rPr>
          <w:b/>
          <w:i w:val="0"/>
          <w:color w:val="1B5E20"/>
          <w:sz w:val="15"/>
        </w:rPr>
        <w:t>Formulasi Matematis (Kurva Parametrik Bézier Alur Pelayaran Maritim):</w:t>
        <w:br/>
      </w:r>
      <w:r>
        <w:rPr>
          <w:rFonts w:ascii="Consolas" w:hAnsi="Consolas"/>
          <w:b w:val="0"/>
          <w:i w:val="0"/>
          <w:color w:val="104010"/>
          <w:sz w:val="14"/>
        </w:rPr>
        <w:t>Titik Kurva Pelayaran = ( 1 - t )² × Pelabuhan Asal + 2 × ( 1 - t ) × t × Titik Kontrol + t² × Pelabuhan Tujuan ,  t bergerak dari 0 ke 1</w:t>
        <w:br/>
      </w:r>
      <w:r>
        <w:rPr>
          <w:b/>
          <w:i w:val="0"/>
          <w:color w:val="1B5E20"/>
          <w:sz w:val="15"/>
        </w:rPr>
        <w:t>Persamaan Substitusi:</w:t>
        <w:br/>
      </w:r>
      <w:r>
        <w:rPr>
          <w:rFonts w:ascii="Consolas" w:hAnsi="Consolas"/>
          <w:b w:val="0"/>
          <w:i w:val="0"/>
          <w:color w:val="222222"/>
          <w:sz w:val="14"/>
        </w:rPr>
        <w:t>Kapasitas Kapal Maksimum = 52.378 DWT (Setara ~5.200 Truk Tronton per Pengapalan)</w:t>
        <w:br/>
        <w:t>Orientasi Logistik: Lebih dari 78% kargo bertolak langsung ke pelabuhan Tiongkok (Ningbo, Qingdao) dan Jepang (Chiba)</w:t>
      </w:r>
      <w:r>
        <w:rPr>
          <w:b w:val="0"/>
          <w:i/>
          <w:color w:val="555555"/>
          <w:sz w:val="14"/>
        </w:rPr>
        <w:br/>
        <w:t>Ket: Pelabuhan Asal: koordinat pelabuhan muat Sulawesi; Titik Kontrol: jangkar lengkung di perairan internasional; Pelabuhan Tujuan: pelabuhan bongkar negara tujuan.</w:t>
      </w:r>
    </w:p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1.7 Matriks Indikator dan Sumber Data Resmi Bab 1</w:t>
      </w:r>
    </w:p>
    <w:p>
      <w:pPr>
        <w:spacing w:before="40" w:after="20"/>
      </w:pPr>
      <w:r>
        <w:rPr>
          <w:b/>
          <w:i/>
          <w:color w:val="2E7D32"/>
          <w:sz w:val="15"/>
        </w:rPr>
        <w:t>Tabel 1.6: Matriks Indikator dan Sumber Data Primer Resmi Bab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45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No</w:t>
            </w:r>
          </w:p>
        </w:tc>
        <w:tc>
          <w:tcPr>
            <w:tcW w:type="dxa" w:w="215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Nama Indikator</w:t>
            </w:r>
          </w:p>
        </w:tc>
        <w:tc>
          <w:tcPr>
            <w:tcW w:type="dxa" w:w="1701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Kategori Analisis</w:t>
            </w:r>
          </w:p>
        </w:tc>
        <w:tc>
          <w:tcPr>
            <w:tcW w:type="dxa" w:w="907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Satuan</w:t>
            </w:r>
          </w:p>
        </w:tc>
        <w:tc>
          <w:tcPr>
            <w:tcW w:type="dxa" w:w="1020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FFFFFF"/>
                <w:sz w:val="15"/>
              </w:rPr>
              <w:t>Cakupan</w:t>
            </w:r>
          </w:p>
        </w:tc>
        <w:tc>
          <w:tcPr>
            <w:tcW w:type="dxa" w:w="4309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Institusi Sumber Data Primer Resmi</w:t>
            </w:r>
          </w:p>
        </w:tc>
      </w:tr>
      <w:tr>
        <w:tc>
          <w:tcPr>
            <w:tcW w:type="dxa" w:w="4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1</w:t>
            </w:r>
          </w:p>
        </w:tc>
        <w:tc>
          <w:tcPr>
            <w:tcW w:type="dxa" w:w="21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IUP Tambang Baru</w:t>
            </w:r>
          </w:p>
        </w:tc>
        <w:tc>
          <w:tcPr>
            <w:tcW w:type="dxa" w:w="170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Tekanan Ekstraktif</w:t>
            </w:r>
          </w:p>
        </w:tc>
        <w:tc>
          <w:tcPr>
            <w:tcW w:type="dxa" w:w="90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Unit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4309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Kementerian ESDM — MODI (Minerbaone)</w:t>
            </w:r>
          </w:p>
        </w:tc>
      </w:tr>
      <w:tr>
        <w:tc>
          <w:tcPr>
            <w:tcW w:type="dxa" w:w="45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215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Luas Konsesi Baru</w:t>
            </w:r>
          </w:p>
        </w:tc>
        <w:tc>
          <w:tcPr>
            <w:tcW w:type="dxa" w:w="170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Tekanan Ekstraktif</w:t>
            </w:r>
          </w:p>
        </w:tc>
        <w:tc>
          <w:tcPr>
            <w:tcW w:type="dxa" w:w="90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Hektar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4309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Kementerian ESDM — MODI (Minerbaone)</w:t>
            </w:r>
          </w:p>
        </w:tc>
      </w:tr>
      <w:tr>
        <w:tc>
          <w:tcPr>
            <w:tcW w:type="dxa" w:w="4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21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PLTU Captive</w:t>
            </w:r>
          </w:p>
        </w:tc>
        <w:tc>
          <w:tcPr>
            <w:tcW w:type="dxa" w:w="170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Energi Fosil Khusus</w:t>
            </w:r>
          </w:p>
        </w:tc>
        <w:tc>
          <w:tcPr>
            <w:tcW w:type="dxa" w:w="90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MW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4309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Global Energy Monitor (GEM)</w:t>
            </w:r>
          </w:p>
        </w:tc>
      </w:tr>
      <w:tr>
        <w:tc>
          <w:tcPr>
            <w:tcW w:type="dxa" w:w="45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4</w:t>
            </w:r>
          </w:p>
        </w:tc>
        <w:tc>
          <w:tcPr>
            <w:tcW w:type="dxa" w:w="215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Smelter Nikel</w:t>
            </w:r>
          </w:p>
        </w:tc>
        <w:tc>
          <w:tcPr>
            <w:tcW w:type="dxa" w:w="170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Fasilitas Industri</w:t>
            </w:r>
          </w:p>
        </w:tc>
        <w:tc>
          <w:tcPr>
            <w:tcW w:type="dxa" w:w="90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Unit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4309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Kementerian ESDM &amp; Center for Global Sustainability</w:t>
            </w:r>
          </w:p>
        </w:tc>
      </w:tr>
      <w:tr>
        <w:tc>
          <w:tcPr>
            <w:tcW w:type="dxa" w:w="4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5</w:t>
            </w:r>
          </w:p>
        </w:tc>
        <w:tc>
          <w:tcPr>
            <w:tcW w:type="dxa" w:w="21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Investasi PMDN</w:t>
            </w:r>
          </w:p>
        </w:tc>
        <w:tc>
          <w:tcPr>
            <w:tcW w:type="dxa" w:w="170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Arus Modal</w:t>
            </w:r>
          </w:p>
        </w:tc>
        <w:tc>
          <w:tcPr>
            <w:tcW w:type="dxa" w:w="90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Triliun Rp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2016-2024</w:t>
            </w:r>
          </w:p>
        </w:tc>
        <w:tc>
          <w:tcPr>
            <w:tcW w:type="dxa" w:w="4309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Kementerian Investasi / BKPM &amp; BPS</w:t>
            </w:r>
          </w:p>
        </w:tc>
      </w:tr>
      <w:tr>
        <w:tc>
          <w:tcPr>
            <w:tcW w:type="dxa" w:w="45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6</w:t>
            </w:r>
          </w:p>
        </w:tc>
        <w:tc>
          <w:tcPr>
            <w:tcW w:type="dxa" w:w="215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PDRB Provinsi Sektoral</w:t>
            </w:r>
          </w:p>
        </w:tc>
        <w:tc>
          <w:tcPr>
            <w:tcW w:type="dxa" w:w="170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Ekonomi Makro</w:t>
            </w:r>
          </w:p>
        </w:tc>
        <w:tc>
          <w:tcPr>
            <w:tcW w:type="dxa" w:w="90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Triliun Rp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2016-2024</w:t>
            </w:r>
          </w:p>
        </w:tc>
        <w:tc>
          <w:tcPr>
            <w:tcW w:type="dxa" w:w="4309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BPS Provinsi se-Sulawesi (Subject 52)</w:t>
            </w:r>
          </w:p>
        </w:tc>
      </w:tr>
      <w:tr>
        <w:tc>
          <w:tcPr>
            <w:tcW w:type="dxa" w:w="4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7</w:t>
            </w:r>
          </w:p>
        </w:tc>
        <w:tc>
          <w:tcPr>
            <w:tcW w:type="dxa" w:w="21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PDRB Kabupaten Sentra</w:t>
            </w:r>
          </w:p>
        </w:tc>
        <w:tc>
          <w:tcPr>
            <w:tcW w:type="dxa" w:w="170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Ekonomi Daerah</w:t>
            </w:r>
          </w:p>
        </w:tc>
        <w:tc>
          <w:tcPr>
            <w:tcW w:type="dxa" w:w="90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Triliun Rp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2016-2024</w:t>
            </w:r>
          </w:p>
        </w:tc>
        <w:tc>
          <w:tcPr>
            <w:tcW w:type="dxa" w:w="4309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BPS Kabupaten se-Sulawesi Tengah</w:t>
            </w:r>
          </w:p>
        </w:tc>
      </w:tr>
      <w:tr>
        <w:tc>
          <w:tcPr>
            <w:tcW w:type="dxa" w:w="45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8</w:t>
            </w:r>
          </w:p>
        </w:tc>
        <w:tc>
          <w:tcPr>
            <w:tcW w:type="dxa" w:w="215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Deforestasi Komoditas</w:t>
            </w:r>
          </w:p>
        </w:tc>
        <w:tc>
          <w:tcPr>
            <w:tcW w:type="dxa" w:w="170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Dampak Ekologis</w:t>
            </w:r>
          </w:p>
        </w:tc>
        <w:tc>
          <w:tcPr>
            <w:tcW w:type="dxa" w:w="907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Hektar</w:t>
            </w:r>
          </w:p>
        </w:tc>
        <w:tc>
          <w:tcPr>
            <w:tcW w:type="dxa" w:w="1020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2014-2023</w:t>
            </w:r>
          </w:p>
        </w:tc>
        <w:tc>
          <w:tcPr>
            <w:tcW w:type="dxa" w:w="4309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Global Forest Watch (University of Maryland)</w:t>
            </w:r>
          </w:p>
        </w:tc>
      </w:tr>
      <w:tr>
        <w:tc>
          <w:tcPr>
            <w:tcW w:type="dxa" w:w="4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222222"/>
                <w:sz w:val="14"/>
              </w:rPr>
              <w:t>9</w:t>
            </w:r>
          </w:p>
        </w:tc>
        <w:tc>
          <w:tcPr>
            <w:tcW w:type="dxa" w:w="215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Pelabuhan &amp; Terminal Khusus</w:t>
            </w:r>
          </w:p>
        </w:tc>
        <w:tc>
          <w:tcPr>
            <w:tcW w:type="dxa" w:w="170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Logistik Maritim</w:t>
            </w:r>
          </w:p>
        </w:tc>
        <w:tc>
          <w:tcPr>
            <w:tcW w:type="dxa" w:w="907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DWT / Titik</w:t>
            </w:r>
          </w:p>
        </w:tc>
        <w:tc>
          <w:tcPr>
            <w:tcW w:type="dxa" w:w="1020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i w:val="0"/>
                <w:color w:val="222222"/>
                <w:sz w:val="14"/>
              </w:rPr>
              <w:t>2014-2024</w:t>
            </w:r>
          </w:p>
        </w:tc>
        <w:tc>
          <w:tcPr>
            <w:tcW w:type="dxa" w:w="4309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KNKT, Perpres PSN, Laporan Korporasi</w:t>
            </w:r>
          </w:p>
        </w:tc>
      </w:tr>
    </w:tbl>
    <w:p>
      <w:pPr>
        <w:spacing w:before="70" w:after="20"/>
        <w:pBdr>
          <w:bottom w:val="single" w:sz="4" w:space="1" w:color="2E7D32"/>
        </w:pBdr>
      </w:pPr>
      <w:r>
        <w:rPr>
          <w:b/>
          <w:i w:val="0"/>
          <w:color w:val="1B5E20"/>
          <w:sz w:val="18"/>
        </w:rPr>
        <w:t>1.8 Bagan Alur Kerangka Kerja Riset Bab 1</w:t>
      </w:r>
    </w:p>
    <w:p>
      <w:pPr>
        <w:spacing w:before="40" w:after="20"/>
      </w:pPr>
      <w:r>
        <w:rPr>
          <w:b/>
          <w:i/>
          <w:color w:val="2E7D32"/>
          <w:sz w:val="15"/>
        </w:rPr>
        <w:t>Tabel 1.7: Matriks Tahapan dan Alur Kerangka Kerja Riset Bab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c>
          <w:tcPr>
            <w:tcW w:type="dxa" w:w="1928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Fase Riset</w:t>
            </w:r>
          </w:p>
        </w:tc>
        <w:tc>
          <w:tcPr>
            <w:tcW w:type="dxa" w:w="2494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Fokus Metodologis</w:t>
            </w:r>
          </w:p>
        </w:tc>
        <w:tc>
          <w:tcPr>
            <w:tcW w:type="dxa" w:w="3061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Bahan &amp; Sumber Data Primer</w:t>
            </w:r>
          </w:p>
        </w:tc>
        <w:tc>
          <w:tcPr>
            <w:tcW w:type="dxa" w:w="3061"/>
            <w:shd w:val="clear" w:color="auto" w:fill="2E7D32"/>
            <w:tcMar>
              <w:top w:w="18" w:type="dxa"/>
              <w:bottom w:w="18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8" w:color="1B5E20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FFFFFF"/>
                <w:sz w:val="15"/>
              </w:rPr>
              <w:t>Keluaran Analisis</w:t>
            </w:r>
          </w:p>
        </w:tc>
      </w:tr>
      <w:tr>
        <w:tc>
          <w:tcPr>
            <w:tcW w:type="dxa" w:w="192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Fase I: Pengumpulan Data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Kurasi data resmi lintas K/L</w:t>
            </w:r>
          </w:p>
        </w:tc>
        <w:tc>
          <w:tcPr>
            <w:tcW w:type="dxa" w:w="306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Publikasi BPS, Minerbaone, BKPM, GEM, GFW</w:t>
            </w:r>
          </w:p>
        </w:tc>
        <w:tc>
          <w:tcPr>
            <w:tcW w:type="dxa" w:w="306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Basis Data Tabular Panel Provinsi (2014–2024)</w:t>
            </w:r>
          </w:p>
        </w:tc>
      </w:tr>
      <w:tr>
        <w:tc>
          <w:tcPr>
            <w:tcW w:type="dxa" w:w="192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Fase II: Reklasifikasi Hukum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Penyusunan rantai pasok hukum</w:t>
            </w:r>
          </w:p>
        </w:tc>
        <w:tc>
          <w:tcPr>
            <w:tcW w:type="dxa" w:w="306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UU 3/2020, PP 96/2021, Perpres 112/2022</w:t>
            </w:r>
          </w:p>
        </w:tc>
        <w:tc>
          <w:tcPr>
            <w:tcW w:type="dxa" w:w="306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3 Klaster Makro (Ekstraktif, Akar Rumput, Jasa)</w:t>
            </w:r>
          </w:p>
        </w:tc>
      </w:tr>
      <w:tr>
        <w:tc>
          <w:tcPr>
            <w:tcW w:type="dxa" w:w="1928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Fase III: Pengujian Statistik</w:t>
            </w:r>
          </w:p>
        </w:tc>
        <w:tc>
          <w:tcPr>
            <w:tcW w:type="dxa" w:w="2494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Uji signifikansi &amp; rasio risiko</w:t>
            </w:r>
          </w:p>
        </w:tc>
        <w:tc>
          <w:tcPr>
            <w:tcW w:type="dxa" w:w="306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Tabel Kontinjensi, Chi-Square, Odds Ratio</w:t>
            </w:r>
          </w:p>
        </w:tc>
        <w:tc>
          <w:tcPr>
            <w:tcW w:type="dxa" w:w="3061"/>
            <w:shd w:val="clear" w:color="auto" w:fill="FFFFFF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Kausalitas Signifikan Tekanan vs Deforestasi (N=60)</w:t>
            </w:r>
          </w:p>
        </w:tc>
      </w:tr>
      <w:tr>
        <w:tc>
          <w:tcPr>
            <w:tcW w:type="dxa" w:w="1928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/>
                <w:i w:val="0"/>
                <w:color w:val="222222"/>
                <w:sz w:val="14"/>
              </w:rPr>
              <w:t>Fase IV: Pemetaan Rantai Pasok</w:t>
            </w:r>
          </w:p>
        </w:tc>
        <w:tc>
          <w:tcPr>
            <w:tcW w:type="dxa" w:w="2494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Triangulasi logistik &amp; rute kapal</w:t>
            </w:r>
          </w:p>
        </w:tc>
        <w:tc>
          <w:tcPr>
            <w:tcW w:type="dxa" w:w="306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KNKT, Perpres PSN, Kurva Parametrik Bézier</w:t>
            </w:r>
          </w:p>
        </w:tc>
        <w:tc>
          <w:tcPr>
            <w:tcW w:type="dxa" w:w="3061"/>
            <w:shd w:val="clear" w:color="auto" w:fill="F9FBF9"/>
            <w:tcMar>
              <w:top w:w="16" w:type="dxa"/>
              <w:bottom w:w="16" w:type="dxa"/>
              <w:left w:w="40" w:type="dxa"/>
              <w:right w:w="40" w:type="dxa"/>
            </w:tcMar>
            <w:tcBorders>
              <w:top w:val="single" w:sz="4" w:color="D8D8D8" w:space="0"/>
              <w:left w:val="single" w:sz="4" w:color="D8D8D8" w:space="0"/>
              <w:bottom w:val="single" w:sz="4" w:color="D8D8D8" w:space="0"/>
              <w:right w:val="single" w:sz="4" w:color="D8D8D8" w:space="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b w:val="0"/>
                <w:i w:val="0"/>
                <w:color w:val="222222"/>
                <w:sz w:val="14"/>
              </w:rPr>
              <w:t>Peta Alur Rantai Pasok Ekspor &amp; Konsentrasi Maritim</w:t>
            </w:r>
          </w:p>
        </w:tc>
      </w:tr>
    </w:tbl>
    <w:sectPr w:rsidR="00FC693F" w:rsidRPr="0006063C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