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i w:val="0"/>
          <w:color w:val="2E7D32"/>
          <w:sz w:val="15"/>
        </w:rPr>
        <w:t>CELIOS — CENTER OF ECONOMIC AND LAW STUDIES  |  LAPORAN RISET METODOLOGI D3TLH</w:t>
      </w:r>
    </w:p>
    <w:p>
      <w:pPr>
        <w:spacing w:before="60" w:after="30"/>
        <w:pBdr>
          <w:bottom w:val="single" w:sz="8" w:space="1" w:color="1B5E20"/>
        </w:pBdr>
      </w:pPr>
      <w:r>
        <w:rPr>
          <w:b/>
          <w:i w:val="0"/>
          <w:color w:val="1B5E20"/>
          <w:sz w:val="20"/>
        </w:rPr>
        <w:t>BAB II: METODOLOGI ANALISIS KUALITAS LINGKUNGAN DI KAWASAN SMELTER</w:t>
      </w:r>
    </w:p>
    <w:p>
      <w:pPr>
        <w:spacing w:before="0" w:after="40" w:line="252" w:lineRule="auto"/>
        <w:jc w:val="both"/>
      </w:pPr>
      <w:r>
        <w:rPr>
          <w:b w:val="0"/>
          <w:i w:val="0"/>
          <w:color w:val="222222"/>
          <w:sz w:val="17"/>
        </w:rPr>
        <w:t xml:space="preserve">Dokumen laporan metodologi ini menyajikan kerangka ilmiah, formulasi matematis, prosedur pengolahan data, dan pengujian statistik yang dioperasionalkan pada </w:t>
      </w:r>
      <w:r>
        <w:rPr>
          <w:b/>
          <w:i w:val="0"/>
          <w:color w:val="222222"/>
          <w:sz w:val="17"/>
        </w:rPr>
        <w:t>Bab 2: Kualitas Lingkungan di Kawasan Smelter</w:t>
      </w:r>
      <w:r>
        <w:rPr>
          <w:b w:val="0"/>
          <w:i w:val="0"/>
          <w:color w:val="222222"/>
          <w:sz w:val="17"/>
        </w:rPr>
        <w:t xml:space="preserve"> dalam studi Daya Dukung dan Daya Tampung Lingkungan Hidup (D3TLH) Sulawesi periode 2014–2024.</w:t>
      </w:r>
    </w:p>
    <w:p>
      <w:pPr>
        <w:spacing w:before="70" w:after="20"/>
        <w:pBdr>
          <w:bottom w:val="single" w:sz="4" w:space="1" w:color="2E7D32"/>
        </w:pBdr>
      </w:pPr>
      <w:r>
        <w:rPr>
          <w:b/>
          <w:i w:val="0"/>
          <w:color w:val="1B5E20"/>
          <w:sz w:val="18"/>
        </w:rPr>
        <w:t>2.1. Dampak Limbah Tailing: Konsentrasi Smelter vs Indeks Kualitas Air (IKA)</w:t>
      </w:r>
    </w:p>
    <w:p>
      <w:pPr>
        <w:spacing w:before="0" w:after="40" w:line="252" w:lineRule="auto"/>
        <w:jc w:val="both"/>
      </w:pPr>
      <w:r>
        <w:rPr>
          <w:b w:val="0"/>
          <w:i w:val="0"/>
          <w:color w:val="222222"/>
          <w:sz w:val="17"/>
        </w:rPr>
        <w:t xml:space="preserve">Pengoperasian </w:t>
      </w:r>
      <w:r>
        <w:rPr>
          <w:b/>
          <w:i w:val="0"/>
          <w:color w:val="222222"/>
          <w:sz w:val="17"/>
        </w:rPr>
        <w:t>778 fasilitas mega-smelter</w:t>
      </w:r>
      <w:r>
        <w:rPr>
          <w:b w:val="0"/>
          <w:i w:val="0"/>
          <w:color w:val="222222"/>
          <w:sz w:val="17"/>
        </w:rPr>
        <w:t xml:space="preserve"> yang didukung oleh kapasitas </w:t>
      </w:r>
      <w:r>
        <w:rPr>
          <w:b/>
          <w:i w:val="0"/>
          <w:color w:val="222222"/>
          <w:sz w:val="17"/>
        </w:rPr>
        <w:t>9.825 MW PLTU Captive</w:t>
      </w:r>
      <w:r>
        <w:rPr>
          <w:b w:val="0"/>
          <w:i w:val="0"/>
          <w:color w:val="222222"/>
          <w:sz w:val="17"/>
        </w:rPr>
        <w:t xml:space="preserve"> meningkatkan intensitas emisi dan beban lingkungan di Pulau Sulawesi. Konversi tutupan hutan mencapai </w:t>
      </w:r>
      <w:r>
        <w:rPr>
          <w:b/>
          <w:i w:val="0"/>
          <w:color w:val="222222"/>
          <w:sz w:val="17"/>
        </w:rPr>
        <w:t>1.001.654 Hektar</w:t>
      </w:r>
      <w:r>
        <w:rPr>
          <w:b w:val="0"/>
          <w:i w:val="0"/>
          <w:color w:val="222222"/>
          <w:sz w:val="17"/>
        </w:rPr>
        <w:t xml:space="preserve">, estimasi timbulan limbah B3/tailing sebesar </w:t>
      </w:r>
      <w:r>
        <w:rPr>
          <w:b/>
          <w:i w:val="0"/>
          <w:color w:val="222222"/>
          <w:sz w:val="17"/>
        </w:rPr>
        <w:t>20,9 Juta Ton per tahun</w:t>
      </w:r>
      <w:r>
        <w:rPr>
          <w:b w:val="0"/>
          <w:i w:val="0"/>
          <w:color w:val="222222"/>
          <w:sz w:val="17"/>
        </w:rPr>
        <w:t xml:space="preserve">, dan rata-rata Indeks Kualitas Air (IKA) tahun 2024 sebesar </w:t>
      </w:r>
      <w:r>
        <w:rPr>
          <w:b/>
          <w:i w:val="0"/>
          <w:color w:val="222222"/>
          <w:sz w:val="17"/>
        </w:rPr>
        <w:t>59,7</w:t>
      </w:r>
      <w:r>
        <w:rPr>
          <w:b w:val="0"/>
          <w:i w:val="0"/>
          <w:color w:val="222222"/>
          <w:sz w:val="17"/>
        </w:rPr>
        <w:t>.</w:t>
      </w:r>
    </w:p>
    <w:p>
      <w:pPr>
        <w:spacing w:before="20" w:after="40" w:line="252" w:lineRule="auto"/>
        <w:ind w:left="100"/>
        <w:pBdr>
          <w:left w:val="single" w:sz="10" w:space="4" w:color="2E7D32"/>
        </w:pBdr>
        <w:shd w:val="clear" w:color="auto" w:fill="F1F8E9"/>
      </w:pPr>
      <w:r>
        <w:rPr>
          <w:b/>
          <w:i w:val="0"/>
          <w:color w:val="1B5E20"/>
          <w:sz w:val="15"/>
        </w:rPr>
        <w:t xml:space="preserve">Sumber Data: </w:t>
      </w:r>
      <w:r>
        <w:rPr>
          <w:b w:val="0"/>
          <w:i/>
          <w:color w:val="333333"/>
          <w:sz w:val="15"/>
        </w:rPr>
        <w:t>Kementerian ESDM &amp; Center for Global Sustainability (fasilitas smelter); KLHK &amp; BPS (Indeks Kualitas Air 2016–2024); laporan lembaga masyarakat sipil (proksi timbulan limbah B3/tailing) dan inventarisasi laporan pencemaran sungai-pesisir (diolah CELIOS).</w:t>
      </w:r>
    </w:p>
    <w:p>
      <w:pPr>
        <w:spacing w:before="40" w:after="20"/>
      </w:pPr>
      <w:r>
        <w:rPr>
          <w:b/>
          <w:i/>
          <w:color w:val="2E7D32"/>
          <w:sz w:val="15"/>
        </w:rPr>
        <w:t>Tabel 2.1: Rincian Empiris Konsentrasi Smelter, IKA, Limbah B3, dan Sungai Tercemar per Provinsi (2024)</w:t>
      </w:r>
    </w:p>
    <w:tbl>
      <w:tblPr>
        <w:tblStyle w:val="TableGrid"/>
        <w:tblW w:type="auto" w:w="0"/>
        <w:jc w:val="center"/>
        <w:tblLayout w:type="fixed"/>
        <w:tblLook w:firstColumn="1" w:firstRow="1" w:lastColumn="0" w:lastRow="0" w:noHBand="0" w:noVBand="1" w:val="04A0"/>
      </w:tblPr>
      <w:tblGrid>
        <w:gridCol w:w="1813"/>
        <w:gridCol w:w="1813"/>
        <w:gridCol w:w="1813"/>
        <w:gridCol w:w="1813"/>
        <w:gridCol w:w="1813"/>
        <w:gridCol w:w="1813"/>
      </w:tblGrid>
      <w:tr>
        <w:tc>
          <w:tcPr>
            <w:tcW w:type="dxa" w:w="1814"/>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Provinsi</w:t>
            </w:r>
          </w:p>
        </w:tc>
        <w:tc>
          <w:tcPr>
            <w:tcW w:type="dxa" w:w="1247"/>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center"/>
            </w:pPr>
            <w:r>
              <w:rPr>
                <w:b/>
                <w:i w:val="0"/>
                <w:color w:val="FFFFFF"/>
                <w:sz w:val="15"/>
              </w:rPr>
              <w:t>Smelter (Unit)</w:t>
            </w:r>
          </w:p>
        </w:tc>
        <w:tc>
          <w:tcPr>
            <w:tcW w:type="dxa" w:w="1020"/>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center"/>
            </w:pPr>
            <w:r>
              <w:rPr>
                <w:b/>
                <w:i w:val="0"/>
                <w:color w:val="FFFFFF"/>
                <w:sz w:val="15"/>
              </w:rPr>
              <w:t>Skor IKA</w:t>
            </w:r>
          </w:p>
        </w:tc>
        <w:tc>
          <w:tcPr>
            <w:tcW w:type="dxa" w:w="1814"/>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Limbah B3 (Ton/Thn)</w:t>
            </w:r>
          </w:p>
        </w:tc>
        <w:tc>
          <w:tcPr>
            <w:tcW w:type="dxa" w:w="1247"/>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center"/>
            </w:pPr>
            <w:r>
              <w:rPr>
                <w:b/>
                <w:i w:val="0"/>
                <w:color w:val="FFFFFF"/>
                <w:sz w:val="15"/>
              </w:rPr>
              <w:t>Sungai Tercemar</w:t>
            </w:r>
          </w:p>
        </w:tc>
        <w:tc>
          <w:tcPr>
            <w:tcW w:type="dxa" w:w="3402"/>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Daftar Sungai / Pesisir Terdampak</w:t>
            </w:r>
          </w:p>
        </w:tc>
      </w:tr>
      <w:tr>
        <w:tc>
          <w:tcPr>
            <w:tcW w:type="dxa" w:w="181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Sulawesi Tengah</w:t>
            </w:r>
          </w:p>
        </w:tc>
        <w:tc>
          <w:tcPr>
            <w:tcW w:type="dxa" w:w="1247"/>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344</w:t>
            </w:r>
          </w:p>
        </w:tc>
        <w:tc>
          <w:tcPr>
            <w:tcW w:type="dxa" w:w="1020"/>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62.1</w:t>
            </w:r>
          </w:p>
        </w:tc>
        <w:tc>
          <w:tcPr>
            <w:tcW w:type="dxa" w:w="181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12,000,000</w:t>
            </w:r>
          </w:p>
        </w:tc>
        <w:tc>
          <w:tcPr>
            <w:tcW w:type="dxa" w:w="1247"/>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4</w:t>
            </w:r>
          </w:p>
        </w:tc>
        <w:tc>
          <w:tcPr>
            <w:tcW w:type="dxa" w:w="3402"/>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Sungai Bahodopi, Laroenai, Morowali, Pesisir Fatufia</w:t>
            </w:r>
          </w:p>
        </w:tc>
      </w:tr>
      <w:tr>
        <w:tc>
          <w:tcPr>
            <w:tcW w:type="dxa" w:w="181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Sulawesi Tenggara</w:t>
            </w:r>
          </w:p>
        </w:tc>
        <w:tc>
          <w:tcPr>
            <w:tcW w:type="dxa" w:w="1247"/>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262</w:t>
            </w:r>
          </w:p>
        </w:tc>
        <w:tc>
          <w:tcPr>
            <w:tcW w:type="dxa" w:w="1020"/>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65.3</w:t>
            </w:r>
          </w:p>
        </w:tc>
        <w:tc>
          <w:tcPr>
            <w:tcW w:type="dxa" w:w="181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7,700,000</w:t>
            </w:r>
          </w:p>
        </w:tc>
        <w:tc>
          <w:tcPr>
            <w:tcW w:type="dxa" w:w="1247"/>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3</w:t>
            </w:r>
          </w:p>
        </w:tc>
        <w:tc>
          <w:tcPr>
            <w:tcW w:type="dxa" w:w="3402"/>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Sungai Lasolo, Sungai Lalindu, Sungai Konaweha</w:t>
            </w:r>
          </w:p>
        </w:tc>
      </w:tr>
      <w:tr>
        <w:tc>
          <w:tcPr>
            <w:tcW w:type="dxa" w:w="181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Sulawesi Selatan</w:t>
            </w:r>
          </w:p>
        </w:tc>
        <w:tc>
          <w:tcPr>
            <w:tcW w:type="dxa" w:w="1247"/>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111</w:t>
            </w:r>
          </w:p>
        </w:tc>
        <w:tc>
          <w:tcPr>
            <w:tcW w:type="dxa" w:w="1020"/>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58.5</w:t>
            </w:r>
          </w:p>
        </w:tc>
        <w:tc>
          <w:tcPr>
            <w:tcW w:type="dxa" w:w="181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1,000,000</w:t>
            </w:r>
          </w:p>
        </w:tc>
        <w:tc>
          <w:tcPr>
            <w:tcW w:type="dxa" w:w="1247"/>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1</w:t>
            </w:r>
          </w:p>
        </w:tc>
        <w:tc>
          <w:tcPr>
            <w:tcW w:type="dxa" w:w="3402"/>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Pesisir dan Sungai Bantaeng</w:t>
            </w:r>
          </w:p>
        </w:tc>
      </w:tr>
      <w:tr>
        <w:tc>
          <w:tcPr>
            <w:tcW w:type="dxa" w:w="181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Sulawesi Barat</w:t>
            </w:r>
          </w:p>
        </w:tc>
        <w:tc>
          <w:tcPr>
            <w:tcW w:type="dxa" w:w="1247"/>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39</w:t>
            </w:r>
          </w:p>
        </w:tc>
        <w:tc>
          <w:tcPr>
            <w:tcW w:type="dxa" w:w="1020"/>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55.9</w:t>
            </w:r>
          </w:p>
        </w:tc>
        <w:tc>
          <w:tcPr>
            <w:tcW w:type="dxa" w:w="181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0</w:t>
            </w:r>
          </w:p>
        </w:tc>
        <w:tc>
          <w:tcPr>
            <w:tcW w:type="dxa" w:w="1247"/>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0</w:t>
            </w:r>
          </w:p>
        </w:tc>
        <w:tc>
          <w:tcPr>
            <w:tcW w:type="dxa" w:w="3402"/>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Tidak teridentifikasi pembuangan tailing smelter</w:t>
            </w:r>
          </w:p>
        </w:tc>
      </w:tr>
      <w:tr>
        <w:tc>
          <w:tcPr>
            <w:tcW w:type="dxa" w:w="181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Sulawesi Utara</w:t>
            </w:r>
          </w:p>
        </w:tc>
        <w:tc>
          <w:tcPr>
            <w:tcW w:type="dxa" w:w="1247"/>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15</w:t>
            </w:r>
          </w:p>
        </w:tc>
        <w:tc>
          <w:tcPr>
            <w:tcW w:type="dxa" w:w="1020"/>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58.2</w:t>
            </w:r>
          </w:p>
        </w:tc>
        <w:tc>
          <w:tcPr>
            <w:tcW w:type="dxa" w:w="181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0</w:t>
            </w:r>
          </w:p>
        </w:tc>
        <w:tc>
          <w:tcPr>
            <w:tcW w:type="dxa" w:w="1247"/>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0</w:t>
            </w:r>
          </w:p>
        </w:tc>
        <w:tc>
          <w:tcPr>
            <w:tcW w:type="dxa" w:w="3402"/>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Tidak teridentifikasi pembuangan tailing smelter</w:t>
            </w:r>
          </w:p>
        </w:tc>
      </w:tr>
      <w:tr>
        <w:tc>
          <w:tcPr>
            <w:tcW w:type="dxa" w:w="181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Gorontalo</w:t>
            </w:r>
          </w:p>
        </w:tc>
        <w:tc>
          <w:tcPr>
            <w:tcW w:type="dxa" w:w="1247"/>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7</w:t>
            </w:r>
          </w:p>
        </w:tc>
        <w:tc>
          <w:tcPr>
            <w:tcW w:type="dxa" w:w="1020"/>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58.1</w:t>
            </w:r>
          </w:p>
        </w:tc>
        <w:tc>
          <w:tcPr>
            <w:tcW w:type="dxa" w:w="181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0</w:t>
            </w:r>
          </w:p>
        </w:tc>
        <w:tc>
          <w:tcPr>
            <w:tcW w:type="dxa" w:w="1247"/>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0</w:t>
            </w:r>
          </w:p>
        </w:tc>
        <w:tc>
          <w:tcPr>
            <w:tcW w:type="dxa" w:w="3402"/>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Tidak teridentifikasi pembuangan tailing smelter</w:t>
            </w:r>
          </w:p>
        </w:tc>
      </w:tr>
    </w:tbl>
    <w:p>
      <w:pPr>
        <w:spacing w:before="30" w:after="40" w:line="252" w:lineRule="auto"/>
        <w:ind w:left="100"/>
        <w:shd w:val="clear" w:color="auto" w:fill="EDF7EE"/>
        <w:pBdr>
          <w:left w:val="single" w:sz="12" w:space="4" w:color="2E7D32"/>
        </w:pBdr>
      </w:pPr>
      <w:r>
        <w:rPr>
          <w:b/>
          <w:i w:val="0"/>
          <w:color w:val="1B5E20"/>
          <w:sz w:val="15"/>
        </w:rPr>
        <w:t>Formulasi Matematis (Konsentrasi Smelter &amp; Beban Limbah B3 Tailing):</w:t>
        <w:br/>
      </w:r>
      <w:r>
        <w:rPr>
          <w:rFonts w:ascii="Consolas" w:hAnsi="Consolas"/>
          <w:b w:val="0"/>
          <w:i w:val="0"/>
          <w:color w:val="104010"/>
          <w:sz w:val="14"/>
        </w:rPr>
        <w:t>Jumlah Smelter Provinsi = Penjumlahan seluruh fasilitas smelter di provinsi tersebut  |  Rata-rata IKA Provinsi = Jumlah skor IKA seluruh titik pantau ÷ Banyaknya titik pantau</w:t>
        <w:br/>
        <w:t>Chi-Square (χ²) = Jumlah dari [ ( Frekuensi Observasi - Frekuensi Harapan )² ÷ Frekuensi Harapan ]  |  Odds Ratio (OR) = ( a × d ) ÷ ( b × c )</w:t>
        <w:br/>
      </w:r>
      <w:r>
        <w:rPr>
          <w:b/>
          <w:i w:val="0"/>
          <w:color w:val="1B5E20"/>
          <w:sz w:val="15"/>
        </w:rPr>
        <w:t>Persamaan Substitusi:</w:t>
        <w:br/>
      </w:r>
      <w:r>
        <w:rPr>
          <w:rFonts w:ascii="Consolas" w:hAnsi="Consolas"/>
          <w:b w:val="0"/>
          <w:i w:val="0"/>
          <w:color w:val="222222"/>
          <w:sz w:val="14"/>
        </w:rPr>
        <w:t>Gabungan Smelter Sulteng + Sultra = 344 unit + 262 unit = 606 unit (77,89% dari total se-Sulawesi)</w:t>
        <w:br/>
        <w:t>Estimasi Limbah B3 Tailing = 12.000.000 Ton/Thn (Sulteng) + 7.700.000 Ton/Thn (Sultra) = 19.700.000 Ton/Thn (94,26% dari total limbah B3)</w:t>
      </w:r>
      <w:r>
        <w:rPr>
          <w:b w:val="0"/>
          <w:i/>
          <w:color w:val="555555"/>
          <w:sz w:val="14"/>
        </w:rPr>
        <w:br/>
        <w:t>Ket: Hasil uji Chi-Square dan Odds Ratio data panel disajikan pada Tabel 2.5, dengan konfigurasi variabel uji pada Tabel 2.4. Kegagalan signifikansi statistik membuktikan Aggregate Dilution Bias (pencemaran fatal sungai industri Bahodopi &amp; Lasolo terencerkan oleh stasiun pemantau sungai non-industri).</w:t>
      </w:r>
    </w:p>
    <w:p>
      <w:pPr>
        <w:spacing w:before="70" w:after="20"/>
        <w:pBdr>
          <w:bottom w:val="single" w:sz="4" w:space="1" w:color="2E7D32"/>
        </w:pBdr>
      </w:pPr>
      <w:r>
        <w:rPr>
          <w:b/>
          <w:i w:val="0"/>
          <w:color w:val="1B5E20"/>
          <w:sz w:val="18"/>
        </w:rPr>
        <w:t>2.2. Kepungan Asap: Kapasitas PLTU vs Indeks Kualitas Udara (IKU)</w:t>
      </w:r>
    </w:p>
    <w:p>
      <w:pPr>
        <w:spacing w:before="0" w:after="40" w:line="252" w:lineRule="auto"/>
        <w:jc w:val="both"/>
      </w:pPr>
      <w:r>
        <w:rPr>
          <w:b w:val="0"/>
          <w:i w:val="0"/>
          <w:color w:val="222222"/>
          <w:sz w:val="17"/>
        </w:rPr>
        <w:t xml:space="preserve">Sebanyak </w:t>
      </w:r>
      <w:r>
        <w:rPr>
          <w:b/>
          <w:i w:val="0"/>
          <w:color w:val="222222"/>
          <w:sz w:val="17"/>
        </w:rPr>
        <w:t>9.825 MW PLTU Captive batu bara off-grid</w:t>
      </w:r>
      <w:r>
        <w:rPr>
          <w:b w:val="0"/>
          <w:i w:val="0"/>
          <w:color w:val="222222"/>
          <w:sz w:val="17"/>
        </w:rPr>
        <w:t xml:space="preserve"> beroperasi di kawasan hilirisasi nikel menyumbang polusi udara ambien dan gas buang NO₂.</w:t>
      </w:r>
    </w:p>
    <w:p>
      <w:pPr>
        <w:spacing w:before="20" w:after="40" w:line="252" w:lineRule="auto"/>
        <w:ind w:left="100"/>
        <w:pBdr>
          <w:left w:val="single" w:sz="10" w:space="4" w:color="2E7D32"/>
        </w:pBdr>
        <w:shd w:val="clear" w:color="auto" w:fill="F1F8E9"/>
      </w:pPr>
      <w:r>
        <w:rPr>
          <w:b/>
          <w:i w:val="0"/>
          <w:color w:val="1B5E20"/>
          <w:sz w:val="15"/>
        </w:rPr>
        <w:t xml:space="preserve">Sumber Data: </w:t>
      </w:r>
      <w:r>
        <w:rPr>
          <w:b w:val="0"/>
          <w:i/>
          <w:color w:val="333333"/>
          <w:sz w:val="15"/>
        </w:rPr>
        <w:t>Kementerian ESDM &amp; Global Energy Monitor (kapasitas PLTU Captive &amp; Grid PLN); KLHK (Indeks Kualitas Udara 2015–2024); pantauan emisi Satelit NASA TROPOMI (konsentrasi NO₂) (diolah CELIOS).</w:t>
      </w:r>
    </w:p>
    <w:p>
      <w:pPr>
        <w:spacing w:before="40" w:after="20"/>
      </w:pPr>
      <w:r>
        <w:rPr>
          <w:b/>
          <w:i/>
          <w:color w:val="2E7D32"/>
          <w:sz w:val="15"/>
        </w:rPr>
        <w:t>Tabel 2.2: Rincian Empiris Kapasitas PLTU (Captive &amp; Grid), IKU, dan Konsentrasi NO₂ NASA (2024)</w:t>
      </w:r>
    </w:p>
    <w:tbl>
      <w:tblPr>
        <w:tblStyle w:val="TableGrid"/>
        <w:tblW w:type="auto" w:w="0"/>
        <w:jc w:val="center"/>
        <w:tblLayout w:type="fixed"/>
        <w:tblLook w:firstColumn="1" w:firstRow="1" w:lastColumn="0" w:lastRow="0" w:noHBand="0" w:noVBand="1" w:val="04A0"/>
      </w:tblPr>
      <w:tblGrid>
        <w:gridCol w:w="1813"/>
        <w:gridCol w:w="1813"/>
        <w:gridCol w:w="1813"/>
        <w:gridCol w:w="1813"/>
        <w:gridCol w:w="1813"/>
        <w:gridCol w:w="1813"/>
      </w:tblGrid>
      <w:tr>
        <w:tc>
          <w:tcPr>
            <w:tcW w:type="dxa" w:w="2154"/>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Provinsi</w:t>
            </w:r>
          </w:p>
        </w:tc>
        <w:tc>
          <w:tcPr>
            <w:tcW w:type="dxa" w:w="1814"/>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Kapasitas PLTU Captive (MW)</w:t>
            </w:r>
          </w:p>
        </w:tc>
        <w:tc>
          <w:tcPr>
            <w:tcW w:type="dxa" w:w="1474"/>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PLTU Grid PLN (MW)</w:t>
            </w:r>
          </w:p>
        </w:tc>
        <w:tc>
          <w:tcPr>
            <w:tcW w:type="dxa" w:w="1474"/>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Total Daya (MW)</w:t>
            </w:r>
          </w:p>
        </w:tc>
        <w:tc>
          <w:tcPr>
            <w:tcW w:type="dxa" w:w="1247"/>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center"/>
            </w:pPr>
            <w:r>
              <w:rPr>
                <w:b/>
                <w:i w:val="0"/>
                <w:color w:val="FFFFFF"/>
                <w:sz w:val="15"/>
              </w:rPr>
              <w:t>Skor IKU</w:t>
            </w:r>
          </w:p>
        </w:tc>
        <w:tc>
          <w:tcPr>
            <w:tcW w:type="dxa" w:w="2381"/>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center"/>
            </w:pPr>
            <w:r>
              <w:rPr>
                <w:b/>
                <w:i w:val="0"/>
                <w:color w:val="FFFFFF"/>
                <w:sz w:val="15"/>
              </w:rPr>
              <w:t>NASA TROPOMI NO₂ (mol/m²)</w:t>
            </w:r>
          </w:p>
        </w:tc>
      </w:tr>
      <w:tr>
        <w:tc>
          <w:tcPr>
            <w:tcW w:type="dxa" w:w="215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Sulawesi Tengah</w:t>
            </w:r>
          </w:p>
        </w:tc>
        <w:tc>
          <w:tcPr>
            <w:tcW w:type="dxa" w:w="181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9,365</w:t>
            </w:r>
          </w:p>
        </w:tc>
        <w:tc>
          <w:tcPr>
            <w:tcW w:type="dxa" w:w="147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0</w:t>
            </w:r>
          </w:p>
        </w:tc>
        <w:tc>
          <w:tcPr>
            <w:tcW w:type="dxa" w:w="147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9,365</w:t>
            </w:r>
          </w:p>
        </w:tc>
        <w:tc>
          <w:tcPr>
            <w:tcW w:type="dxa" w:w="1247"/>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92.9</w:t>
            </w:r>
          </w:p>
        </w:tc>
        <w:tc>
          <w:tcPr>
            <w:tcW w:type="dxa" w:w="238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6.50e-06</w:t>
            </w:r>
          </w:p>
        </w:tc>
      </w:tr>
      <w:tr>
        <w:tc>
          <w:tcPr>
            <w:tcW w:type="dxa" w:w="215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Sulawesi Tenggara</w:t>
            </w:r>
          </w:p>
        </w:tc>
        <w:tc>
          <w:tcPr>
            <w:tcW w:type="dxa" w:w="181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2,280</w:t>
            </w:r>
          </w:p>
        </w:tc>
        <w:tc>
          <w:tcPr>
            <w:tcW w:type="dxa" w:w="147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100</w:t>
            </w:r>
          </w:p>
        </w:tc>
        <w:tc>
          <w:tcPr>
            <w:tcW w:type="dxa" w:w="147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2,380</w:t>
            </w:r>
          </w:p>
        </w:tc>
        <w:tc>
          <w:tcPr>
            <w:tcW w:type="dxa" w:w="1247"/>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93.0</w:t>
            </w:r>
          </w:p>
        </w:tc>
        <w:tc>
          <w:tcPr>
            <w:tcW w:type="dxa" w:w="238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6.62e-06</w:t>
            </w:r>
          </w:p>
        </w:tc>
      </w:tr>
      <w:tr>
        <w:tc>
          <w:tcPr>
            <w:tcW w:type="dxa" w:w="215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Sulawesi Selatan</w:t>
            </w:r>
          </w:p>
        </w:tc>
        <w:tc>
          <w:tcPr>
            <w:tcW w:type="dxa" w:w="181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600</w:t>
            </w:r>
          </w:p>
        </w:tc>
        <w:tc>
          <w:tcPr>
            <w:tcW w:type="dxa" w:w="147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920</w:t>
            </w:r>
          </w:p>
        </w:tc>
        <w:tc>
          <w:tcPr>
            <w:tcW w:type="dxa" w:w="147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1,520</w:t>
            </w:r>
          </w:p>
        </w:tc>
        <w:tc>
          <w:tcPr>
            <w:tcW w:type="dxa" w:w="1247"/>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91.5</w:t>
            </w:r>
          </w:p>
        </w:tc>
        <w:tc>
          <w:tcPr>
            <w:tcW w:type="dxa" w:w="238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6.40e-06</w:t>
            </w:r>
          </w:p>
        </w:tc>
      </w:tr>
      <w:tr>
        <w:tc>
          <w:tcPr>
            <w:tcW w:type="dxa" w:w="215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Sulawesi Utara</w:t>
            </w:r>
          </w:p>
        </w:tc>
        <w:tc>
          <w:tcPr>
            <w:tcW w:type="dxa" w:w="181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0</w:t>
            </w:r>
          </w:p>
        </w:tc>
        <w:tc>
          <w:tcPr>
            <w:tcW w:type="dxa" w:w="147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220</w:t>
            </w:r>
          </w:p>
        </w:tc>
        <w:tc>
          <w:tcPr>
            <w:tcW w:type="dxa" w:w="147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220</w:t>
            </w:r>
          </w:p>
        </w:tc>
        <w:tc>
          <w:tcPr>
            <w:tcW w:type="dxa" w:w="1247"/>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93.4</w:t>
            </w:r>
          </w:p>
        </w:tc>
        <w:tc>
          <w:tcPr>
            <w:tcW w:type="dxa" w:w="238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4.09e-06</w:t>
            </w:r>
          </w:p>
        </w:tc>
      </w:tr>
      <w:tr>
        <w:tc>
          <w:tcPr>
            <w:tcW w:type="dxa" w:w="215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Gorontalo</w:t>
            </w:r>
          </w:p>
        </w:tc>
        <w:tc>
          <w:tcPr>
            <w:tcW w:type="dxa" w:w="181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0</w:t>
            </w:r>
          </w:p>
        </w:tc>
        <w:tc>
          <w:tcPr>
            <w:tcW w:type="dxa" w:w="147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100</w:t>
            </w:r>
          </w:p>
        </w:tc>
        <w:tc>
          <w:tcPr>
            <w:tcW w:type="dxa" w:w="147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100</w:t>
            </w:r>
          </w:p>
        </w:tc>
        <w:tc>
          <w:tcPr>
            <w:tcW w:type="dxa" w:w="1247"/>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93.5</w:t>
            </w:r>
          </w:p>
        </w:tc>
        <w:tc>
          <w:tcPr>
            <w:tcW w:type="dxa" w:w="238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3.76e-06</w:t>
            </w:r>
          </w:p>
        </w:tc>
      </w:tr>
      <w:tr>
        <w:tc>
          <w:tcPr>
            <w:tcW w:type="dxa" w:w="215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Sulawesi Barat</w:t>
            </w:r>
          </w:p>
        </w:tc>
        <w:tc>
          <w:tcPr>
            <w:tcW w:type="dxa" w:w="181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0</w:t>
            </w:r>
          </w:p>
        </w:tc>
        <w:tc>
          <w:tcPr>
            <w:tcW w:type="dxa" w:w="147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0</w:t>
            </w:r>
          </w:p>
        </w:tc>
        <w:tc>
          <w:tcPr>
            <w:tcW w:type="dxa" w:w="147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0</w:t>
            </w:r>
          </w:p>
        </w:tc>
        <w:tc>
          <w:tcPr>
            <w:tcW w:type="dxa" w:w="1247"/>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92.5</w:t>
            </w:r>
          </w:p>
        </w:tc>
        <w:tc>
          <w:tcPr>
            <w:tcW w:type="dxa" w:w="238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6.00e-06</w:t>
            </w:r>
          </w:p>
        </w:tc>
      </w:tr>
    </w:tbl>
    <w:p>
      <w:pPr>
        <w:spacing w:before="30" w:after="40" w:line="252" w:lineRule="auto"/>
        <w:ind w:left="100"/>
        <w:shd w:val="clear" w:color="auto" w:fill="EDF7EE"/>
        <w:pBdr>
          <w:left w:val="single" w:sz="12" w:space="4" w:color="2E7D32"/>
        </w:pBdr>
      </w:pPr>
      <w:r>
        <w:rPr>
          <w:b/>
          <w:i w:val="0"/>
          <w:color w:val="1B5E20"/>
          <w:sz w:val="15"/>
        </w:rPr>
        <w:t>Formulasi Matematis (Kapasitas Energi PLTU &amp; Parameter Kualitas Udara):</w:t>
        <w:br/>
      </w:r>
      <w:r>
        <w:rPr>
          <w:rFonts w:ascii="Consolas" w:hAnsi="Consolas"/>
          <w:b w:val="0"/>
          <w:i w:val="0"/>
          <w:color w:val="104010"/>
          <w:sz w:val="14"/>
        </w:rPr>
        <w:t>Kapasitas PLTU Provinsi = Penjumlahan kapasitas seluruh unit PLTU di provinsi tersebut  |  Rata-rata IKU = Jumlah skor IKU ÷ Banyaknya observasi provinsi-tahun</w:t>
        <w:br/>
        <w:t>Chi-Square (χ²) = Jumlah dari [ ( Frekuensi Observasi - Frekuensi Harapan )² ÷ Frekuensi Harapan ]  |  Odds Ratio (OR) = ( a × d ) ÷ ( b × c )</w:t>
        <w:br/>
      </w:r>
      <w:r>
        <w:rPr>
          <w:b/>
          <w:i w:val="0"/>
          <w:color w:val="1B5E20"/>
          <w:sz w:val="15"/>
        </w:rPr>
        <w:t>Persamaan Substitusi:</w:t>
        <w:br/>
      </w:r>
      <w:r>
        <w:rPr>
          <w:rFonts w:ascii="Consolas" w:hAnsi="Consolas"/>
          <w:b w:val="0"/>
          <w:i w:val="0"/>
          <w:color w:val="222222"/>
          <w:sz w:val="14"/>
        </w:rPr>
        <w:t>Total PLTU Captive 3 Sentra = 9.365 MW (Sulteng) + 2.280 MW (Sultra) + 600 MW (Sulsel) = 12.245 MW terpasang</w:t>
      </w:r>
      <w:r>
        <w:rPr>
          <w:b w:val="0"/>
          <w:i/>
          <w:color w:val="555555"/>
          <w:sz w:val="14"/>
        </w:rPr>
        <w:br/>
        <w:t>Ket: Hasil pengujian statistik tabulasi silang dirinci pada Tabel 2.5, dengan konfigurasi variabel uji pada Tabel 2.4. Ketidaksignifikanan membuktikan Efek Pengenceran Udara Ambien karena sensor IKU tersebar merata di hutan berudara bersih.</w:t>
      </w:r>
    </w:p>
    <w:p>
      <w:pPr>
        <w:spacing w:before="70" w:after="20"/>
        <w:pBdr>
          <w:bottom w:val="single" w:sz="4" w:space="1" w:color="2E7D32"/>
        </w:pBdr>
      </w:pPr>
      <w:r>
        <w:rPr>
          <w:b/>
          <w:i w:val="0"/>
          <w:color w:val="1B5E20"/>
          <w:sz w:val="18"/>
        </w:rPr>
        <w:t>2.3. Eksekusi Ruang: Ekspansi Kawasan Industri vs Tekanan Ekologis (Deforestasi)</w:t>
      </w:r>
    </w:p>
    <w:p>
      <w:pPr>
        <w:spacing w:before="0" w:after="40" w:line="252" w:lineRule="auto"/>
        <w:jc w:val="both"/>
      </w:pPr>
      <w:r>
        <w:rPr>
          <w:b w:val="0"/>
          <w:i w:val="0"/>
          <w:color w:val="222222"/>
          <w:sz w:val="17"/>
        </w:rPr>
        <w:t xml:space="preserve">Alokasi konsesi IUP dan Kawasan Industri mencakup </w:t>
      </w:r>
      <w:r>
        <w:rPr>
          <w:b/>
          <w:i w:val="0"/>
          <w:color w:val="222222"/>
          <w:sz w:val="17"/>
        </w:rPr>
        <w:t>1.185.174 Hektar</w:t>
      </w:r>
      <w:r>
        <w:rPr>
          <w:b w:val="0"/>
          <w:i w:val="0"/>
          <w:color w:val="222222"/>
          <w:sz w:val="17"/>
        </w:rPr>
        <w:t xml:space="preserve"> di Sulawesi. Sepanjang dekade 2014–2023, data Global Forest Watch (GFW) merekam akumulasi kehilangan tutupan pohon sebesar </w:t>
      </w:r>
      <w:r>
        <w:rPr>
          <w:b/>
          <w:i w:val="0"/>
          <w:color w:val="222222"/>
          <w:sz w:val="17"/>
        </w:rPr>
        <w:t>1.386.055 Hektar</w:t>
      </w:r>
      <w:r>
        <w:rPr>
          <w:b w:val="0"/>
          <w:i w:val="0"/>
          <w:color w:val="222222"/>
          <w:sz w:val="17"/>
        </w:rPr>
        <w:t xml:space="preserve"> (terbesar di Sulawesi Tengah dan Tenggara).</w:t>
      </w:r>
    </w:p>
    <w:p>
      <w:pPr>
        <w:spacing w:before="20" w:after="40" w:line="252" w:lineRule="auto"/>
        <w:ind w:left="100"/>
        <w:pBdr>
          <w:left w:val="single" w:sz="10" w:space="4" w:color="2E7D32"/>
        </w:pBdr>
        <w:shd w:val="clear" w:color="auto" w:fill="F1F8E9"/>
      </w:pPr>
      <w:r>
        <w:rPr>
          <w:b/>
          <w:i w:val="0"/>
          <w:color w:val="1B5E20"/>
          <w:sz w:val="15"/>
        </w:rPr>
        <w:t xml:space="preserve">Sumber Data: </w:t>
      </w:r>
      <w:r>
        <w:rPr>
          <w:b w:val="0"/>
          <w:i/>
          <w:color w:val="333333"/>
          <w:sz w:val="15"/>
        </w:rPr>
        <w:t>Kementerian ESDM — MODI/Minerbaone (izin konsesi IUP &amp; kawasan industri); Global Forest Watch — University of Maryland (kehilangan tutupan pohon 2014–2023) (diolah CELIOS).</w:t>
      </w:r>
    </w:p>
    <w:p>
      <w:pPr>
        <w:spacing w:before="40" w:after="20"/>
      </w:pPr>
      <w:r>
        <w:rPr>
          <w:b/>
          <w:i/>
          <w:color w:val="2E7D32"/>
          <w:sz w:val="15"/>
        </w:rPr>
        <w:t>Tabel 2.3: Rincian Empiris Luas Konsesi IUP-Kawasan Industri dan Deforestasi Kumulatif (2014–2023)</w:t>
      </w:r>
    </w:p>
    <w:tbl>
      <w:tblPr>
        <w:tblStyle w:val="TableGrid"/>
        <w:tblW w:type="auto" w:w="0"/>
        <w:jc w:val="center"/>
        <w:tblLayout w:type="fixed"/>
        <w:tblLook w:firstColumn="1" w:firstRow="1" w:lastColumn="0" w:lastRow="0" w:noHBand="0" w:noVBand="1" w:val="04A0"/>
      </w:tblPr>
      <w:tblGrid>
        <w:gridCol w:w="2720"/>
        <w:gridCol w:w="2720"/>
        <w:gridCol w:w="2720"/>
        <w:gridCol w:w="2720"/>
      </w:tblGrid>
      <w:tr>
        <w:tc>
          <w:tcPr>
            <w:tcW w:type="dxa" w:w="2381"/>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Provinsi</w:t>
            </w:r>
          </w:p>
        </w:tc>
        <w:tc>
          <w:tcPr>
            <w:tcW w:type="dxa" w:w="2608"/>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Luas IUP &amp; Kawasan (Ha)</w:t>
            </w:r>
          </w:p>
        </w:tc>
        <w:tc>
          <w:tcPr>
            <w:tcW w:type="dxa" w:w="2608"/>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Konsesi Baru Kumulatif (Ha)</w:t>
            </w:r>
          </w:p>
        </w:tc>
        <w:tc>
          <w:tcPr>
            <w:tcW w:type="dxa" w:w="2948"/>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Deforestasi Kumulatif 1 Dekade (Ha)</w:t>
            </w:r>
          </w:p>
        </w:tc>
      </w:tr>
      <w:tr>
        <w:tc>
          <w:tcPr>
            <w:tcW w:type="dxa" w:w="238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Sulawesi Tengah</w:t>
            </w:r>
          </w:p>
        </w:tc>
        <w:tc>
          <w:tcPr>
            <w:tcW w:type="dxa" w:w="260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453,216</w:t>
            </w:r>
          </w:p>
        </w:tc>
        <w:tc>
          <w:tcPr>
            <w:tcW w:type="dxa" w:w="260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387,124</w:t>
            </w:r>
          </w:p>
        </w:tc>
        <w:tc>
          <w:tcPr>
            <w:tcW w:type="dxa" w:w="294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481,908</w:t>
            </w:r>
          </w:p>
        </w:tc>
      </w:tr>
      <w:tr>
        <w:tc>
          <w:tcPr>
            <w:tcW w:type="dxa" w:w="238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Sulawesi Tenggara</w:t>
            </w:r>
          </w:p>
        </w:tc>
        <w:tc>
          <w:tcPr>
            <w:tcW w:type="dxa" w:w="260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446,025</w:t>
            </w:r>
          </w:p>
        </w:tc>
        <w:tc>
          <w:tcPr>
            <w:tcW w:type="dxa" w:w="260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212,717</w:t>
            </w:r>
          </w:p>
        </w:tc>
        <w:tc>
          <w:tcPr>
            <w:tcW w:type="dxa" w:w="294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337,434</w:t>
            </w:r>
          </w:p>
        </w:tc>
      </w:tr>
      <w:tr>
        <w:tc>
          <w:tcPr>
            <w:tcW w:type="dxa" w:w="238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Sulawesi Selatan</w:t>
            </w:r>
          </w:p>
        </w:tc>
        <w:tc>
          <w:tcPr>
            <w:tcW w:type="dxa" w:w="260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181,469</w:t>
            </w:r>
          </w:p>
        </w:tc>
        <w:tc>
          <w:tcPr>
            <w:tcW w:type="dxa" w:w="260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123,065</w:t>
            </w:r>
          </w:p>
        </w:tc>
        <w:tc>
          <w:tcPr>
            <w:tcW w:type="dxa" w:w="294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261,147</w:t>
            </w:r>
          </w:p>
        </w:tc>
      </w:tr>
      <w:tr>
        <w:tc>
          <w:tcPr>
            <w:tcW w:type="dxa" w:w="238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Sulawesi Utara</w:t>
            </w:r>
          </w:p>
        </w:tc>
        <w:tc>
          <w:tcPr>
            <w:tcW w:type="dxa" w:w="260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94,829</w:t>
            </w:r>
          </w:p>
        </w:tc>
        <w:tc>
          <w:tcPr>
            <w:tcW w:type="dxa" w:w="260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89,170</w:t>
            </w:r>
          </w:p>
        </w:tc>
        <w:tc>
          <w:tcPr>
            <w:tcW w:type="dxa" w:w="294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74,240</w:t>
            </w:r>
          </w:p>
        </w:tc>
      </w:tr>
      <w:tr>
        <w:tc>
          <w:tcPr>
            <w:tcW w:type="dxa" w:w="238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Gorontalo</w:t>
            </w:r>
          </w:p>
        </w:tc>
        <w:tc>
          <w:tcPr>
            <w:tcW w:type="dxa" w:w="260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5,212</w:t>
            </w:r>
          </w:p>
        </w:tc>
        <w:tc>
          <w:tcPr>
            <w:tcW w:type="dxa" w:w="260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5,212</w:t>
            </w:r>
          </w:p>
        </w:tc>
        <w:tc>
          <w:tcPr>
            <w:tcW w:type="dxa" w:w="294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98,063</w:t>
            </w:r>
          </w:p>
        </w:tc>
      </w:tr>
      <w:tr>
        <w:tc>
          <w:tcPr>
            <w:tcW w:type="dxa" w:w="238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Sulawesi Barat</w:t>
            </w:r>
          </w:p>
        </w:tc>
        <w:tc>
          <w:tcPr>
            <w:tcW w:type="dxa" w:w="260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4,424</w:t>
            </w:r>
          </w:p>
        </w:tc>
        <w:tc>
          <w:tcPr>
            <w:tcW w:type="dxa" w:w="260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2,163</w:t>
            </w:r>
          </w:p>
        </w:tc>
        <w:tc>
          <w:tcPr>
            <w:tcW w:type="dxa" w:w="294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133,263</w:t>
            </w:r>
          </w:p>
        </w:tc>
      </w:tr>
    </w:tbl>
    <w:p>
      <w:pPr>
        <w:spacing w:before="40" w:after="20"/>
      </w:pPr>
      <w:r>
        <w:rPr>
          <w:b/>
          <w:i/>
          <w:color w:val="2E7D32"/>
          <w:sz w:val="15"/>
        </w:rPr>
        <w:t>Tabel 2.4: Konfigurasi Variabel Uji Tabulasi Silang (Crosstab) Bab 2 — Skenario Sub-bab 2.1, 2.2, dan 2.3</w:t>
      </w:r>
    </w:p>
    <w:tbl>
      <w:tblPr>
        <w:tblStyle w:val="TableGrid"/>
        <w:tblW w:type="auto" w:w="0"/>
        <w:jc w:val="center"/>
        <w:tblLayout w:type="fixed"/>
        <w:tblLook w:firstColumn="1" w:firstRow="1" w:lastColumn="0" w:lastRow="0" w:noHBand="0" w:noVBand="1" w:val="04A0"/>
      </w:tblPr>
      <w:tblGrid>
        <w:gridCol w:w="2720"/>
        <w:gridCol w:w="2720"/>
        <w:gridCol w:w="2720"/>
        <w:gridCol w:w="2720"/>
      </w:tblGrid>
      <w:tr>
        <w:tc>
          <w:tcPr>
            <w:tcW w:type="dxa" w:w="1814"/>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Komponen Uji</w:t>
            </w:r>
          </w:p>
        </w:tc>
        <w:tc>
          <w:tcPr>
            <w:tcW w:type="dxa" w:w="2778"/>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2.1 Smelter vs IKA</w:t>
            </w:r>
          </w:p>
        </w:tc>
        <w:tc>
          <w:tcPr>
            <w:tcW w:type="dxa" w:w="2835"/>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2.2 PLTU vs IKU</w:t>
            </w:r>
          </w:p>
        </w:tc>
        <w:tc>
          <w:tcPr>
            <w:tcW w:type="dxa" w:w="3118"/>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2.3 Ekspansi Industri vs Deforestasi</w:t>
            </w:r>
          </w:p>
        </w:tc>
      </w:tr>
      <w:tr>
        <w:tc>
          <w:tcPr>
            <w:tcW w:type="dxa" w:w="181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Variabel Independen (X)</w:t>
            </w:r>
          </w:p>
        </w:tc>
        <w:tc>
          <w:tcPr>
            <w:tcW w:type="dxa" w:w="277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Jumlah Smelter (fasilitas beroperasi &amp; konstruksi)</w:t>
            </w:r>
          </w:p>
        </w:tc>
        <w:tc>
          <w:tcPr>
            <w:tcW w:type="dxa" w:w="2835"/>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Kapasitas PLTU (MW)</w:t>
            </w:r>
          </w:p>
        </w:tc>
        <w:tc>
          <w:tcPr>
            <w:tcW w:type="dxa" w:w="311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Luas Ekspansi Industri / IUP &amp; Kawasan (Ha)</w:t>
            </w:r>
          </w:p>
        </w:tc>
      </w:tr>
      <w:tr>
        <w:tc>
          <w:tcPr>
            <w:tcW w:type="dxa" w:w="181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Variabel Dependen (Y)</w:t>
            </w:r>
          </w:p>
        </w:tc>
        <w:tc>
          <w:tcPr>
            <w:tcW w:type="dxa" w:w="277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Indeks Kualitas Air (skor baku mutu air provinsi)</w:t>
            </w:r>
          </w:p>
        </w:tc>
        <w:tc>
          <w:tcPr>
            <w:tcW w:type="dxa" w:w="2835"/>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Indeks Kualitas Udara (skor baku mutu udara ambien)</w:t>
            </w:r>
          </w:p>
        </w:tc>
        <w:tc>
          <w:tcPr>
            <w:tcW w:type="dxa" w:w="311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Kehilangan Tutupan Pohon / Total Deforestasi Alam (Ha)</w:t>
            </w:r>
          </w:p>
        </w:tc>
      </w:tr>
      <w:tr>
        <w:tc>
          <w:tcPr>
            <w:tcW w:type="dxa" w:w="181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Hipotesis Alternatif (H1)</w:t>
            </w:r>
          </w:p>
        </w:tc>
        <w:tc>
          <w:tcPr>
            <w:tcW w:type="dxa" w:w="277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Hubungan negatif: semakin padat smelter, semakin kritis mutu air</w:t>
            </w:r>
          </w:p>
        </w:tc>
        <w:tc>
          <w:tcPr>
            <w:tcW w:type="dxa" w:w="2835"/>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Hubungan negatif: semakin besar kapasitas PLTU, semakin kritis mutu udara</w:t>
            </w:r>
          </w:p>
        </w:tc>
        <w:tc>
          <w:tcPr>
            <w:tcW w:type="dxa" w:w="311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Korelasi positif: ekspansi izin lahan mendorong laju deforestasi</w:t>
            </w:r>
          </w:p>
        </w:tc>
      </w:tr>
      <w:tr>
        <w:tc>
          <w:tcPr>
            <w:tcW w:type="dxa" w:w="181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Decision Rule (Alpha 5%)</w:t>
            </w:r>
          </w:p>
        </w:tc>
        <w:tc>
          <w:tcPr>
            <w:tcW w:type="dxa" w:w="277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Tolak H0 jika P-Value &lt; 0.05</w:t>
            </w:r>
          </w:p>
        </w:tc>
        <w:tc>
          <w:tcPr>
            <w:tcW w:type="dxa" w:w="2835"/>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Tolak H0 jika P-Value &lt; 0.05</w:t>
            </w:r>
          </w:p>
        </w:tc>
        <w:tc>
          <w:tcPr>
            <w:tcW w:type="dxa" w:w="311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Tolak H0 jika P-Value &lt; 0.05</w:t>
            </w:r>
          </w:p>
        </w:tc>
      </w:tr>
      <w:tr>
        <w:tc>
          <w:tcPr>
            <w:tcW w:type="dxa" w:w="181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Threshold Kategori (Median Panel)</w:t>
            </w:r>
          </w:p>
        </w:tc>
        <w:tc>
          <w:tcPr>
            <w:tcW w:type="dxa" w:w="277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X &gt;= 75.0 fasilitas; Y &gt;= 55.9 poin (N=54)</w:t>
            </w:r>
          </w:p>
        </w:tc>
        <w:tc>
          <w:tcPr>
            <w:tcW w:type="dxa" w:w="2835"/>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X &gt;= 220.0 MW; Y &gt;= 91.0 poin (N=54)</w:t>
            </w:r>
          </w:p>
        </w:tc>
        <w:tc>
          <w:tcPr>
            <w:tcW w:type="dxa" w:w="311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X &gt;= 138,148.8 Ha; Y &gt;= 15,917.7 Ha (N=60)</w:t>
            </w:r>
          </w:p>
        </w:tc>
      </w:tr>
      <w:tr>
        <w:tc>
          <w:tcPr>
            <w:tcW w:type="dxa" w:w="181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Orientasi Odds Ratio</w:t>
            </w:r>
          </w:p>
        </w:tc>
        <w:tc>
          <w:tcPr>
            <w:tcW w:type="dxa" w:w="277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a = Smelter Tinggi &amp; IKA Kritis (risiko IKA kritis)</w:t>
            </w:r>
          </w:p>
        </w:tc>
        <w:tc>
          <w:tcPr>
            <w:tcW w:type="dxa" w:w="2835"/>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a = PLTU Tinggi &amp; IKU Kritis (risiko IKU kritis)</w:t>
            </w:r>
          </w:p>
        </w:tc>
        <w:tc>
          <w:tcPr>
            <w:tcW w:type="dxa" w:w="311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a = IUP Tinggi &amp; Deforestasi Parah (risiko deforestasi parah)</w:t>
            </w:r>
          </w:p>
        </w:tc>
      </w:tr>
    </w:tbl>
    <w:p>
      <w:pPr>
        <w:spacing w:before="40" w:after="20"/>
      </w:pPr>
      <w:r>
        <w:rPr>
          <w:b/>
          <w:i/>
          <w:color w:val="2E7D32"/>
          <w:sz w:val="15"/>
        </w:rPr>
        <w:t>Tabel 2.5: Ringkasan Hasil Uji Independensi Chi-Square (χ²) dan Odds Ratio (OR) Data Panel Bab 2 (N=54 s.d. 60)</w:t>
      </w:r>
    </w:p>
    <w:tbl>
      <w:tblPr>
        <w:tblStyle w:val="TableGrid"/>
        <w:tblW w:type="auto" w:w="0"/>
        <w:jc w:val="center"/>
        <w:tblLayout w:type="fixed"/>
        <w:tblLook w:firstColumn="1" w:firstRow="1" w:lastColumn="0" w:lastRow="0" w:noHBand="0" w:noVBand="1" w:val="04A0"/>
      </w:tblPr>
      <w:tblGrid>
        <w:gridCol w:w="1813"/>
        <w:gridCol w:w="1813"/>
        <w:gridCol w:w="1813"/>
        <w:gridCol w:w="1813"/>
        <w:gridCol w:w="1813"/>
        <w:gridCol w:w="1813"/>
      </w:tblGrid>
      <w:tr>
        <w:tc>
          <w:tcPr>
            <w:tcW w:type="dxa" w:w="2551"/>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Faktor Tekanan Lingkungan (X)</w:t>
            </w:r>
          </w:p>
        </w:tc>
        <w:tc>
          <w:tcPr>
            <w:tcW w:type="dxa" w:w="2381"/>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Indikator Dampak (Y)</w:t>
            </w:r>
          </w:p>
        </w:tc>
        <w:tc>
          <w:tcPr>
            <w:tcW w:type="dxa" w:w="1134"/>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center"/>
            </w:pPr>
            <w:r>
              <w:rPr>
                <w:b/>
                <w:i w:val="0"/>
                <w:color w:val="FFFFFF"/>
                <w:sz w:val="15"/>
              </w:rPr>
              <w:t>Chi-Square (χ²)</w:t>
            </w:r>
          </w:p>
        </w:tc>
        <w:tc>
          <w:tcPr>
            <w:tcW w:type="dxa" w:w="1020"/>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center"/>
            </w:pPr>
            <w:r>
              <w:rPr>
                <w:b/>
                <w:i w:val="0"/>
                <w:color w:val="FFFFFF"/>
                <w:sz w:val="15"/>
              </w:rPr>
              <w:t>P-Value</w:t>
            </w:r>
          </w:p>
        </w:tc>
        <w:tc>
          <w:tcPr>
            <w:tcW w:type="dxa" w:w="1020"/>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center"/>
            </w:pPr>
            <w:r>
              <w:rPr>
                <w:b/>
                <w:i w:val="0"/>
                <w:color w:val="FFFFFF"/>
                <w:sz w:val="15"/>
              </w:rPr>
              <w:t>Odds Ratio</w:t>
            </w:r>
          </w:p>
        </w:tc>
        <w:tc>
          <w:tcPr>
            <w:tcW w:type="dxa" w:w="2438"/>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Kesimpulan Ilmiah</w:t>
            </w:r>
          </w:p>
        </w:tc>
      </w:tr>
      <w:tr>
        <w:tc>
          <w:tcPr>
            <w:tcW w:type="dxa" w:w="255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Kepadatan Smelter (Fasilitas)</w:t>
            </w:r>
          </w:p>
        </w:tc>
        <w:tc>
          <w:tcPr>
            <w:tcW w:type="dxa" w:w="238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Indeks Kualitas Air (IKA)</w:t>
            </w:r>
          </w:p>
        </w:tc>
        <w:tc>
          <w:tcPr>
            <w:tcW w:type="dxa" w:w="113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2.667</w:t>
            </w:r>
          </w:p>
        </w:tc>
        <w:tc>
          <w:tcPr>
            <w:tcW w:type="dxa" w:w="1020"/>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0.102</w:t>
            </w:r>
          </w:p>
        </w:tc>
        <w:tc>
          <w:tcPr>
            <w:tcW w:type="dxa" w:w="1020"/>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0.35x</w:t>
            </w:r>
          </w:p>
        </w:tc>
        <w:tc>
          <w:tcPr>
            <w:tcW w:type="dxa" w:w="243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TIDAK SIGNIFIKAN (Pengenceran Agregat)</w:t>
            </w:r>
          </w:p>
        </w:tc>
      </w:tr>
      <w:tr>
        <w:tc>
          <w:tcPr>
            <w:tcW w:type="dxa" w:w="255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Kapasitas PLTU (MW)</w:t>
            </w:r>
          </w:p>
        </w:tc>
        <w:tc>
          <w:tcPr>
            <w:tcW w:type="dxa" w:w="238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Indeks Kualitas Udara (IKU)</w:t>
            </w:r>
          </w:p>
        </w:tc>
        <w:tc>
          <w:tcPr>
            <w:tcW w:type="dxa" w:w="113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0.000</w:t>
            </w:r>
          </w:p>
        </w:tc>
        <w:tc>
          <w:tcPr>
            <w:tcW w:type="dxa" w:w="1020"/>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1.000</w:t>
            </w:r>
          </w:p>
        </w:tc>
        <w:tc>
          <w:tcPr>
            <w:tcW w:type="dxa" w:w="1020"/>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1.18x</w:t>
            </w:r>
          </w:p>
        </w:tc>
        <w:tc>
          <w:tcPr>
            <w:tcW w:type="dxa" w:w="243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TIDAK SIGNIFIKAN (Pengenceran Ambien)</w:t>
            </w:r>
          </w:p>
        </w:tc>
      </w:tr>
      <w:tr>
        <w:tc>
          <w:tcPr>
            <w:tcW w:type="dxa" w:w="255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Luas Ekspansi Industri (Ha)</w:t>
            </w:r>
          </w:p>
        </w:tc>
        <w:tc>
          <w:tcPr>
            <w:tcW w:type="dxa" w:w="238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Kehilangan Tutupan Pohon (Ha)</w:t>
            </w:r>
          </w:p>
        </w:tc>
        <w:tc>
          <w:tcPr>
            <w:tcW w:type="dxa" w:w="113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35.267</w:t>
            </w:r>
          </w:p>
        </w:tc>
        <w:tc>
          <w:tcPr>
            <w:tcW w:type="dxa" w:w="1020"/>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p &lt; 0.001</w:t>
            </w:r>
          </w:p>
        </w:tc>
        <w:tc>
          <w:tcPr>
            <w:tcW w:type="dxa" w:w="1020"/>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81.0x</w:t>
            </w:r>
          </w:p>
        </w:tc>
        <w:tc>
          <w:tcPr>
            <w:tcW w:type="dxa" w:w="243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SIGNIFIKAN (Risiko Deforestasi 81x Lipat)</w:t>
            </w:r>
          </w:p>
        </w:tc>
      </w:tr>
    </w:tbl>
    <w:p>
      <w:pPr>
        <w:spacing w:before="30" w:after="40" w:line="252" w:lineRule="auto"/>
        <w:ind w:left="100"/>
        <w:shd w:val="clear" w:color="auto" w:fill="EDF7EE"/>
        <w:pBdr>
          <w:left w:val="single" w:sz="12" w:space="4" w:color="2E7D32"/>
        </w:pBdr>
      </w:pPr>
      <w:r>
        <w:rPr>
          <w:b/>
          <w:i w:val="0"/>
          <w:color w:val="1B5E20"/>
          <w:sz w:val="15"/>
        </w:rPr>
        <w:t>Formulasi Matematis (Eksekusi Ruang &amp; Konsentrasi Deforestasi Sentra):</w:t>
        <w:br/>
      </w:r>
      <w:r>
        <w:rPr>
          <w:rFonts w:ascii="Consolas" w:hAnsi="Consolas"/>
          <w:b w:val="0"/>
          <w:i w:val="0"/>
          <w:color w:val="104010"/>
          <w:sz w:val="14"/>
        </w:rPr>
        <w:t>Luas IUP &amp; Kawasan Provinsi = Penjumlahan luas seluruh izin konsesi di provinsi tersebut  |  Deforestasi Kumulatif = Penjumlahan deforestasi tahunan 2014 s.d. 2023</w:t>
        <w:br/>
        <w:t>Chi-Square (χ²) = Jumlah dari [ ( Frekuensi Observasi - Frekuensi Harapan )² ÷ Frekuensi Harapan ]  |  Odds Ratio (OR) = ( a × d ) ÷ ( b × c )</w:t>
        <w:br/>
      </w:r>
      <w:r>
        <w:rPr>
          <w:b/>
          <w:i w:val="0"/>
          <w:color w:val="1B5E20"/>
          <w:sz w:val="15"/>
        </w:rPr>
        <w:t>Persamaan Substitusi:</w:t>
        <w:br/>
      </w:r>
      <w:r>
        <w:rPr>
          <w:rFonts w:ascii="Consolas" w:hAnsi="Consolas"/>
          <w:b w:val="0"/>
          <w:i w:val="0"/>
          <w:color w:val="222222"/>
          <w:sz w:val="14"/>
        </w:rPr>
        <w:t>Gabungan Konsesi Sulteng + Sultra = 453.216 Ha + 446.025 Ha = 899.241 Hektar (75,87% dari konsesi se-Sulawesi)</w:t>
        <w:br/>
        <w:t>Gabungan Deforestasi Sulteng + Sultra = 481.908 Ha + 337.434 Ha = 819.342 Hektar (59,11% dari deforestasi se-Sulawesi)</w:t>
      </w:r>
      <w:r>
        <w:rPr>
          <w:b w:val="0"/>
          <w:i/>
          <w:color w:val="555555"/>
          <w:sz w:val="14"/>
        </w:rPr>
        <w:br/>
        <w:t>Ket: Uji Chi-Square membuktikan secara sangat signifikan (χ² = 35.267, p &lt; 0.001, OR = 81.0x) bahwa wilayah konsesi industri nikel menghadapi risiko deforestasi 81 kali lipat lebih tinggi (lihat Tabel 2.5; konfigurasi variabel uji pada Tabel 2.4).</w:t>
      </w:r>
    </w:p>
    <w:p>
      <w:pPr>
        <w:spacing w:before="70" w:after="20"/>
        <w:pBdr>
          <w:bottom w:val="single" w:sz="4" w:space="1" w:color="2E7D32"/>
        </w:pBdr>
      </w:pPr>
      <w:r>
        <w:rPr>
          <w:b/>
          <w:i w:val="0"/>
          <w:color w:val="1B5E20"/>
          <w:sz w:val="18"/>
        </w:rPr>
        <w:t>2.4. Driver Deforestasi: Analisis Faktor Pendorong Perubahan Tutupan Hutan</w:t>
      </w:r>
    </w:p>
    <w:p>
      <w:pPr>
        <w:spacing w:before="0" w:after="40" w:line="252" w:lineRule="auto"/>
        <w:jc w:val="both"/>
      </w:pPr>
      <w:r>
        <w:rPr>
          <w:b w:val="0"/>
          <w:i w:val="0"/>
          <w:color w:val="222222"/>
          <w:sz w:val="17"/>
        </w:rPr>
        <w:t xml:space="preserve">Atribusi kausalitas membedah kontribusi faktor pendorong terhadap </w:t>
      </w:r>
      <w:r>
        <w:rPr>
          <w:b/>
          <w:i w:val="0"/>
          <w:color w:val="222222"/>
          <w:sz w:val="17"/>
        </w:rPr>
        <w:t>1,22+ juta hektar deforestasi di Sulawesi</w:t>
      </w:r>
      <w:r>
        <w:rPr>
          <w:b w:val="0"/>
          <w:i w:val="0"/>
          <w:color w:val="222222"/>
          <w:sz w:val="17"/>
        </w:rPr>
        <w:t xml:space="preserve"> (GFW 2014–2023) antara industri komoditas ekstraktif skala besar vs pertanian berpindah masyarakat.</w:t>
      </w:r>
    </w:p>
    <w:p>
      <w:pPr>
        <w:spacing w:before="20" w:after="40" w:line="252" w:lineRule="auto"/>
        <w:ind w:left="100"/>
        <w:pBdr>
          <w:left w:val="single" w:sz="10" w:space="4" w:color="2E7D32"/>
        </w:pBdr>
        <w:shd w:val="clear" w:color="auto" w:fill="F1F8E9"/>
      </w:pPr>
      <w:r>
        <w:rPr>
          <w:b/>
          <w:i w:val="0"/>
          <w:color w:val="1B5E20"/>
          <w:sz w:val="15"/>
        </w:rPr>
        <w:t xml:space="preserve">Sumber Data: </w:t>
      </w:r>
      <w:r>
        <w:rPr>
          <w:b w:val="0"/>
          <w:i/>
          <w:color w:val="333333"/>
          <w:sz w:val="15"/>
        </w:rPr>
        <w:t>Global Forest Watch — University of Maryland (klasifikasi faktor pendorong deforestasi &amp; estimasi pelepasan emisi CO₂ kumulatif 2014–2023) (diolah CELIOS).</w:t>
      </w:r>
    </w:p>
    <w:p>
      <w:pPr>
        <w:spacing w:before="40" w:after="20"/>
      </w:pPr>
      <w:r>
        <w:rPr>
          <w:b/>
          <w:i/>
          <w:color w:val="2E7D32"/>
          <w:sz w:val="15"/>
        </w:rPr>
        <w:t>Tabel 2.6: Matriks Atribusi Deforestasi dan Pelepasan Emisi CO₂ per Faktor Pendorong (Kumulatif 2014–2023)</w:t>
      </w:r>
    </w:p>
    <w:tbl>
      <w:tblPr>
        <w:tblStyle w:val="TableGrid"/>
        <w:tblW w:type="auto" w:w="0"/>
        <w:jc w:val="center"/>
        <w:tblLayout w:type="fixed"/>
        <w:tblLook w:firstColumn="1" w:firstRow="1" w:lastColumn="0" w:lastRow="0" w:noHBand="0" w:noVBand="1" w:val="04A0"/>
      </w:tblPr>
      <w:tblGrid>
        <w:gridCol w:w="2176"/>
        <w:gridCol w:w="2176"/>
        <w:gridCol w:w="2176"/>
        <w:gridCol w:w="2176"/>
        <w:gridCol w:w="2176"/>
      </w:tblGrid>
      <w:tr>
        <w:tc>
          <w:tcPr>
            <w:tcW w:type="dxa" w:w="2948"/>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Faktor Pendorong Deforestasi</w:t>
            </w:r>
          </w:p>
        </w:tc>
        <w:tc>
          <w:tcPr>
            <w:tcW w:type="dxa" w:w="1701"/>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Total Deforestasi (Ha)</w:t>
            </w:r>
          </w:p>
        </w:tc>
        <w:tc>
          <w:tcPr>
            <w:tcW w:type="dxa" w:w="1247"/>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center"/>
            </w:pPr>
            <w:r>
              <w:rPr>
                <w:b/>
                <w:i w:val="0"/>
                <w:color w:val="FFFFFF"/>
                <w:sz w:val="15"/>
              </w:rPr>
              <w:t>Proporsi (%)</w:t>
            </w:r>
          </w:p>
        </w:tc>
        <w:tc>
          <w:tcPr>
            <w:tcW w:type="dxa" w:w="2835"/>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Estimasi Emisi Karbon CO₂ (Mg)</w:t>
            </w:r>
          </w:p>
        </w:tc>
        <w:tc>
          <w:tcPr>
            <w:tcW w:type="dxa" w:w="1814"/>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center"/>
            </w:pPr>
            <w:r>
              <w:rPr>
                <w:b/>
                <w:i w:val="0"/>
                <w:color w:val="FFFFFF"/>
                <w:sz w:val="15"/>
              </w:rPr>
              <w:t>Proporsi Emisi (%)</w:t>
            </w:r>
          </w:p>
        </w:tc>
      </w:tr>
      <w:tr>
        <w:tc>
          <w:tcPr>
            <w:tcW w:type="dxa" w:w="294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Pertambangan dan Sawit (Ekstraktif)</w:t>
            </w:r>
          </w:p>
        </w:tc>
        <w:tc>
          <w:tcPr>
            <w:tcW w:type="dxa" w:w="170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1,001,654</w:t>
            </w:r>
          </w:p>
        </w:tc>
        <w:tc>
          <w:tcPr>
            <w:tcW w:type="dxa" w:w="1247"/>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82.2%</w:t>
            </w:r>
          </w:p>
        </w:tc>
        <w:tc>
          <w:tcPr>
            <w:tcW w:type="dxa" w:w="2835"/>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664,472,885</w:t>
            </w:r>
          </w:p>
        </w:tc>
        <w:tc>
          <w:tcPr>
            <w:tcW w:type="dxa" w:w="181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82.6%</w:t>
            </w:r>
          </w:p>
        </w:tc>
      </w:tr>
      <w:tr>
        <w:tc>
          <w:tcPr>
            <w:tcW w:type="dxa" w:w="294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Kehutanan Komersial (Logging)</w:t>
            </w:r>
          </w:p>
        </w:tc>
        <w:tc>
          <w:tcPr>
            <w:tcW w:type="dxa" w:w="170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134,637</w:t>
            </w:r>
          </w:p>
        </w:tc>
        <w:tc>
          <w:tcPr>
            <w:tcW w:type="dxa" w:w="1247"/>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11.1%</w:t>
            </w:r>
          </w:p>
        </w:tc>
        <w:tc>
          <w:tcPr>
            <w:tcW w:type="dxa" w:w="2835"/>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87,138,022</w:t>
            </w:r>
          </w:p>
        </w:tc>
        <w:tc>
          <w:tcPr>
            <w:tcW w:type="dxa" w:w="181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10.8%</w:t>
            </w:r>
          </w:p>
        </w:tc>
      </w:tr>
      <w:tr>
        <w:tc>
          <w:tcPr>
            <w:tcW w:type="dxa" w:w="294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Pertanian Berpindah (Masyarakat)</w:t>
            </w:r>
          </w:p>
        </w:tc>
        <w:tc>
          <w:tcPr>
            <w:tcW w:type="dxa" w:w="170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55,905</w:t>
            </w:r>
          </w:p>
        </w:tc>
        <w:tc>
          <w:tcPr>
            <w:tcW w:type="dxa" w:w="1247"/>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4.6%</w:t>
            </w:r>
          </w:p>
        </w:tc>
        <w:tc>
          <w:tcPr>
            <w:tcW w:type="dxa" w:w="2835"/>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38,215,565</w:t>
            </w:r>
          </w:p>
        </w:tc>
        <w:tc>
          <w:tcPr>
            <w:tcW w:type="dxa" w:w="181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4.8%</w:t>
            </w:r>
          </w:p>
        </w:tc>
      </w:tr>
      <w:tr>
        <w:tc>
          <w:tcPr>
            <w:tcW w:type="dxa" w:w="2948"/>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Tidak Teridentifikasi / Lainnya</w:t>
            </w:r>
          </w:p>
        </w:tc>
        <w:tc>
          <w:tcPr>
            <w:tcW w:type="dxa" w:w="170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25,738</w:t>
            </w:r>
          </w:p>
        </w:tc>
        <w:tc>
          <w:tcPr>
            <w:tcW w:type="dxa" w:w="1247"/>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2.1%</w:t>
            </w:r>
          </w:p>
        </w:tc>
        <w:tc>
          <w:tcPr>
            <w:tcW w:type="dxa" w:w="2835"/>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14,225,278</w:t>
            </w:r>
          </w:p>
        </w:tc>
        <w:tc>
          <w:tcPr>
            <w:tcW w:type="dxa" w:w="181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1.8%</w:t>
            </w:r>
          </w:p>
        </w:tc>
      </w:tr>
      <w:tr>
        <w:tc>
          <w:tcPr>
            <w:tcW w:type="dxa" w:w="2948"/>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Total Agregat Sulawesi</w:t>
            </w:r>
          </w:p>
        </w:tc>
        <w:tc>
          <w:tcPr>
            <w:tcW w:type="dxa" w:w="170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1,217,934</w:t>
            </w:r>
          </w:p>
        </w:tc>
        <w:tc>
          <w:tcPr>
            <w:tcW w:type="dxa" w:w="1247"/>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100.0%</w:t>
            </w:r>
          </w:p>
        </w:tc>
        <w:tc>
          <w:tcPr>
            <w:tcW w:type="dxa" w:w="2835"/>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right"/>
            </w:pPr>
            <w:r>
              <w:rPr>
                <w:b w:val="0"/>
                <w:i w:val="0"/>
                <w:color w:val="222222"/>
                <w:sz w:val="14"/>
              </w:rPr>
              <w:t>804,051,750</w:t>
            </w:r>
          </w:p>
        </w:tc>
        <w:tc>
          <w:tcPr>
            <w:tcW w:type="dxa" w:w="181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100.0%</w:t>
            </w:r>
          </w:p>
        </w:tc>
      </w:tr>
    </w:tbl>
    <w:p>
      <w:pPr>
        <w:spacing w:before="30" w:after="40" w:line="252" w:lineRule="auto"/>
        <w:ind w:left="100"/>
        <w:shd w:val="clear" w:color="auto" w:fill="EDF7EE"/>
        <w:pBdr>
          <w:left w:val="single" w:sz="12" w:space="4" w:color="2E7D32"/>
        </w:pBdr>
      </w:pPr>
      <w:r>
        <w:rPr>
          <w:b/>
          <w:i w:val="0"/>
          <w:color w:val="1B5E20"/>
          <w:sz w:val="15"/>
        </w:rPr>
        <w:t>Formulasi Matematis (Atribusi Deforestasi Komoditas &amp; Pelepasan Karbon):</w:t>
        <w:br/>
      </w:r>
      <w:r>
        <w:rPr>
          <w:rFonts w:ascii="Consolas" w:hAnsi="Consolas"/>
          <w:b w:val="0"/>
          <w:i w:val="0"/>
          <w:color w:val="104010"/>
          <w:sz w:val="14"/>
        </w:rPr>
        <w:t>Proporsi Faktor Pendorong (%) = ( Deforestasi Faktor Tersebut ÷ Total Deforestasi Kumulatif ) × 100%</w:t>
        <w:br/>
        <w:t>Rasio Kerusakan = Deforestasi Tambang &amp; Sawit ÷ Deforestasi Pertanian Rakyat</w:t>
        <w:br/>
      </w:r>
      <w:r>
        <w:rPr>
          <w:b/>
          <w:i w:val="0"/>
          <w:color w:val="1B5E20"/>
          <w:sz w:val="15"/>
        </w:rPr>
        <w:t>Persamaan Substitusi:</w:t>
        <w:br/>
      </w:r>
      <w:r>
        <w:rPr>
          <w:rFonts w:ascii="Consolas" w:hAnsi="Consolas"/>
          <w:b w:val="0"/>
          <w:i w:val="0"/>
          <w:color w:val="222222"/>
          <w:sz w:val="14"/>
        </w:rPr>
        <w:t>Proporsi Tambang &amp; Sawit = ( 1.001.654 Ha ÷ 1.217.934 Ha ) × 100% = 82,24% (Emisi: 664.472.885 Mg CO2 / 82,64%)</w:t>
        <w:br/>
        <w:t>Proporsi Pertanian Rakyat = ( 55.905 Ha ÷ 1.217.934 Ha ) × 100% = 4,59% (Emisi: 38.215.565 Mg CO2 / 4,75%)</w:t>
        <w:br/>
        <w:t>Rasio Kerusakan = 1.001.654 Ha ÷ 55.905 Ha = 17,92 Kali Lipat Lebih Masif</w:t>
      </w:r>
      <w:r>
        <w:rPr>
          <w:b w:val="0"/>
          <w:i/>
          <w:color w:val="555555"/>
          <w:sz w:val="14"/>
        </w:rPr>
        <w:br/>
        <w:t>Ket: Fakta empiris membantah tudingan deforestasi akibat perladangan rakyat: industri tambang &amp; sawit merusak hutan 18 kali lipat lebih masif.</w:t>
      </w:r>
    </w:p>
    <w:p>
      <w:pPr>
        <w:spacing w:before="70" w:after="20"/>
        <w:pBdr>
          <w:bottom w:val="single" w:sz="4" w:space="1" w:color="2E7D32"/>
        </w:pBdr>
      </w:pPr>
      <w:r>
        <w:rPr>
          <w:b/>
          <w:i w:val="0"/>
          <w:color w:val="1B5E20"/>
          <w:sz w:val="18"/>
        </w:rPr>
        <w:t>2.5. Kehancuran Biodiversitas: Dampak Terhadap Habitat Satwa Endemik</w:t>
      </w:r>
    </w:p>
    <w:p>
      <w:pPr>
        <w:spacing w:before="0" w:after="40" w:line="252" w:lineRule="auto"/>
        <w:jc w:val="both"/>
      </w:pPr>
      <w:r>
        <w:rPr>
          <w:b w:val="0"/>
          <w:i w:val="0"/>
          <w:color w:val="222222"/>
          <w:sz w:val="17"/>
        </w:rPr>
        <w:t xml:space="preserve">Ekspansi pertambangan nikel dan kawasan industri mengancam keanekaragaman hayati kawasan biogeografi Wallacea. Data spasial </w:t>
      </w:r>
      <w:r>
        <w:rPr>
          <w:b/>
          <w:i w:val="0"/>
          <w:color w:val="222222"/>
          <w:sz w:val="17"/>
        </w:rPr>
        <w:t>GBIF</w:t>
      </w:r>
      <w:r>
        <w:rPr>
          <w:b w:val="0"/>
          <w:i w:val="0"/>
          <w:color w:val="222222"/>
          <w:sz w:val="17"/>
        </w:rPr>
        <w:t xml:space="preserve"> memetakan </w:t>
      </w:r>
      <w:r>
        <w:rPr>
          <w:b/>
          <w:i w:val="0"/>
          <w:color w:val="222222"/>
          <w:sz w:val="17"/>
        </w:rPr>
        <w:t>269 titik koordinat perjumpaan (occurrence)</w:t>
      </w:r>
      <w:r>
        <w:rPr>
          <w:b w:val="0"/>
          <w:i w:val="0"/>
          <w:color w:val="222222"/>
          <w:sz w:val="17"/>
        </w:rPr>
        <w:t xml:space="preserve"> dari 7 spesies endemik kunci. Validasi </w:t>
      </w:r>
      <w:r>
        <w:rPr>
          <w:b/>
          <w:i w:val="0"/>
          <w:color w:val="222222"/>
          <w:sz w:val="17"/>
        </w:rPr>
        <w:t>IUCN Red List</w:t>
      </w:r>
      <w:r>
        <w:rPr>
          <w:b w:val="0"/>
          <w:i w:val="0"/>
          <w:color w:val="222222"/>
          <w:sz w:val="17"/>
        </w:rPr>
        <w:t xml:space="preserve"> menunjukkan seluruh spesies mengalami tren penurunan populasi (*Decreasing*) dan </w:t>
      </w:r>
      <w:r>
        <w:rPr>
          <w:b/>
          <w:i w:val="0"/>
          <w:color w:val="222222"/>
          <w:sz w:val="17"/>
        </w:rPr>
        <w:t>4 dari 7 spesies terkonfirmasi menghadapi Mining Threat</w:t>
      </w:r>
      <w:r>
        <w:rPr>
          <w:b w:val="0"/>
          <w:i w:val="0"/>
          <w:color w:val="222222"/>
          <w:sz w:val="17"/>
        </w:rPr>
        <w:t>.</w:t>
      </w:r>
    </w:p>
    <w:p>
      <w:pPr>
        <w:spacing w:before="20" w:after="40" w:line="252" w:lineRule="auto"/>
        <w:ind w:left="100"/>
        <w:pBdr>
          <w:left w:val="single" w:sz="10" w:space="4" w:color="2E7D32"/>
        </w:pBdr>
        <w:shd w:val="clear" w:color="auto" w:fill="F1F8E9"/>
      </w:pPr>
      <w:r>
        <w:rPr>
          <w:b/>
          <w:i w:val="0"/>
          <w:color w:val="1B5E20"/>
          <w:sz w:val="15"/>
        </w:rPr>
        <w:t xml:space="preserve">Sumber Data: </w:t>
      </w:r>
      <w:r>
        <w:rPr>
          <w:b w:val="0"/>
          <w:i/>
          <w:color w:val="333333"/>
          <w:sz w:val="15"/>
        </w:rPr>
        <w:t>GBIF — Global Biodiversity Information Facility (titik koordinat perjumpaan satwa); IUCN Red List (status konservasi, tren populasi, dan penanda Mining Threat) (diolah CELIOS).</w:t>
      </w:r>
    </w:p>
    <w:p>
      <w:pPr>
        <w:spacing w:before="40" w:after="20"/>
      </w:pPr>
      <w:r>
        <w:rPr>
          <w:b/>
          <w:i/>
          <w:color w:val="2E7D32"/>
          <w:sz w:val="15"/>
        </w:rPr>
        <w:t>Tabel 2.7: Matriks Spesies Endemik Wallacea, Status IUCN, Penanda Mining Threat, dan Titik GBIF</w:t>
      </w:r>
    </w:p>
    <w:tbl>
      <w:tblPr>
        <w:tblStyle w:val="TableGrid"/>
        <w:tblW w:type="auto" w:w="0"/>
        <w:jc w:val="center"/>
        <w:tblLayout w:type="fixed"/>
        <w:tblLook w:firstColumn="1" w:firstRow="1" w:lastColumn="0" w:lastRow="0" w:noHBand="0" w:noVBand="1" w:val="04A0"/>
      </w:tblPr>
      <w:tblGrid>
        <w:gridCol w:w="1813"/>
        <w:gridCol w:w="1813"/>
        <w:gridCol w:w="1813"/>
        <w:gridCol w:w="1813"/>
        <w:gridCol w:w="1813"/>
        <w:gridCol w:w="1813"/>
      </w:tblGrid>
      <w:tr>
        <w:tc>
          <w:tcPr>
            <w:tcW w:type="dxa" w:w="2381"/>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Nama Ilmiah (Scientific Name)</w:t>
            </w:r>
          </w:p>
        </w:tc>
        <w:tc>
          <w:tcPr>
            <w:tcW w:type="dxa" w:w="2381"/>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left"/>
            </w:pPr>
            <w:r>
              <w:rPr>
                <w:b/>
                <w:i w:val="0"/>
                <w:color w:val="FFFFFF"/>
                <w:sz w:val="15"/>
              </w:rPr>
              <w:t>Nama Umum (Common Name)</w:t>
            </w:r>
          </w:p>
        </w:tc>
        <w:tc>
          <w:tcPr>
            <w:tcW w:type="dxa" w:w="2041"/>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center"/>
            </w:pPr>
            <w:r>
              <w:rPr>
                <w:b/>
                <w:i w:val="0"/>
                <w:color w:val="FFFFFF"/>
                <w:sz w:val="15"/>
              </w:rPr>
              <w:t>Status IUCN</w:t>
            </w:r>
          </w:p>
        </w:tc>
        <w:tc>
          <w:tcPr>
            <w:tcW w:type="dxa" w:w="1361"/>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center"/>
            </w:pPr>
            <w:r>
              <w:rPr>
                <w:b/>
                <w:i w:val="0"/>
                <w:color w:val="FFFFFF"/>
                <w:sz w:val="15"/>
              </w:rPr>
              <w:t>Tren Populasi</w:t>
            </w:r>
          </w:p>
        </w:tc>
        <w:tc>
          <w:tcPr>
            <w:tcW w:type="dxa" w:w="1134"/>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center"/>
            </w:pPr>
            <w:r>
              <w:rPr>
                <w:b/>
                <w:i w:val="0"/>
                <w:color w:val="FFFFFF"/>
                <w:sz w:val="15"/>
              </w:rPr>
              <w:t>Mining Threat</w:t>
            </w:r>
          </w:p>
        </w:tc>
        <w:tc>
          <w:tcPr>
            <w:tcW w:type="dxa" w:w="1247"/>
            <w:shd w:val="clear" w:color="auto" w:fill="2E7D32"/>
            <w:tcMar>
              <w:top w:w="18" w:type="dxa"/>
              <w:bottom w:w="18" w:type="dxa"/>
              <w:left w:w="40" w:type="dxa"/>
              <w:right w:w="40" w:type="dxa"/>
            </w:tcMar>
            <w:tcBorders>
              <w:top w:val="single" w:sz="4" w:color="D8D8D8" w:space="0"/>
              <w:left w:val="single" w:sz="4" w:color="D8D8D8" w:space="0"/>
              <w:bottom w:val="single" w:sz="8" w:color="1B5E20" w:space="0"/>
              <w:right w:val="single" w:sz="4" w:color="D8D8D8" w:space="0"/>
            </w:tcBorders>
          </w:tcPr>
          <w:p>
            <w:pPr>
              <w:spacing w:before="0" w:after="0" w:line="240" w:lineRule="auto"/>
              <w:jc w:val="center"/>
            </w:pPr>
            <w:r>
              <w:rPr>
                <w:b/>
                <w:i w:val="0"/>
                <w:color w:val="FFFFFF"/>
                <w:sz w:val="15"/>
              </w:rPr>
              <w:t>Titik GBIF</w:t>
            </w:r>
          </w:p>
        </w:tc>
      </w:tr>
      <w:tr>
        <w:tc>
          <w:tcPr>
            <w:tcW w:type="dxa" w:w="238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Macaca nigra</w:t>
            </w:r>
          </w:p>
        </w:tc>
        <w:tc>
          <w:tcPr>
            <w:tcW w:type="dxa" w:w="238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Celebes Crested Macaque</w:t>
            </w:r>
          </w:p>
        </w:tc>
        <w:tc>
          <w:tcPr>
            <w:tcW w:type="dxa" w:w="204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Critically Endangered</w:t>
            </w:r>
          </w:p>
        </w:tc>
        <w:tc>
          <w:tcPr>
            <w:tcW w:type="dxa" w:w="136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Decreasing</w:t>
            </w:r>
          </w:p>
        </w:tc>
        <w:tc>
          <w:tcPr>
            <w:tcW w:type="dxa" w:w="113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Yes</w:t>
            </w:r>
          </w:p>
        </w:tc>
        <w:tc>
          <w:tcPr>
            <w:tcW w:type="dxa" w:w="1247"/>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87</w:t>
            </w:r>
          </w:p>
        </w:tc>
      </w:tr>
      <w:tr>
        <w:tc>
          <w:tcPr>
            <w:tcW w:type="dxa" w:w="238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Macrocephalon maleo</w:t>
            </w:r>
          </w:p>
        </w:tc>
        <w:tc>
          <w:tcPr>
            <w:tcW w:type="dxa" w:w="238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Maleo</w:t>
            </w:r>
          </w:p>
        </w:tc>
        <w:tc>
          <w:tcPr>
            <w:tcW w:type="dxa" w:w="204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Critically Endangered</w:t>
            </w:r>
          </w:p>
        </w:tc>
        <w:tc>
          <w:tcPr>
            <w:tcW w:type="dxa" w:w="136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Decreasing</w:t>
            </w:r>
          </w:p>
        </w:tc>
        <w:tc>
          <w:tcPr>
            <w:tcW w:type="dxa" w:w="113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No</w:t>
            </w:r>
          </w:p>
        </w:tc>
        <w:tc>
          <w:tcPr>
            <w:tcW w:type="dxa" w:w="1247"/>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95</w:t>
            </w:r>
          </w:p>
        </w:tc>
      </w:tr>
      <w:tr>
        <w:tc>
          <w:tcPr>
            <w:tcW w:type="dxa" w:w="238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Bubalus depressicornis</w:t>
            </w:r>
          </w:p>
        </w:tc>
        <w:tc>
          <w:tcPr>
            <w:tcW w:type="dxa" w:w="238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Lowland Anoa</w:t>
            </w:r>
          </w:p>
        </w:tc>
        <w:tc>
          <w:tcPr>
            <w:tcW w:type="dxa" w:w="204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Endangered</w:t>
            </w:r>
          </w:p>
        </w:tc>
        <w:tc>
          <w:tcPr>
            <w:tcW w:type="dxa" w:w="136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Decreasing</w:t>
            </w:r>
          </w:p>
        </w:tc>
        <w:tc>
          <w:tcPr>
            <w:tcW w:type="dxa" w:w="113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Yes</w:t>
            </w:r>
          </w:p>
        </w:tc>
        <w:tc>
          <w:tcPr>
            <w:tcW w:type="dxa" w:w="1247"/>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18</w:t>
            </w:r>
          </w:p>
        </w:tc>
      </w:tr>
      <w:tr>
        <w:tc>
          <w:tcPr>
            <w:tcW w:type="dxa" w:w="238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Bubalus quarlesi</w:t>
            </w:r>
          </w:p>
        </w:tc>
        <w:tc>
          <w:tcPr>
            <w:tcW w:type="dxa" w:w="238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Mountain Anoa</w:t>
            </w:r>
          </w:p>
        </w:tc>
        <w:tc>
          <w:tcPr>
            <w:tcW w:type="dxa" w:w="204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Endangered</w:t>
            </w:r>
          </w:p>
        </w:tc>
        <w:tc>
          <w:tcPr>
            <w:tcW w:type="dxa" w:w="136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Decreasing</w:t>
            </w:r>
          </w:p>
        </w:tc>
        <w:tc>
          <w:tcPr>
            <w:tcW w:type="dxa" w:w="113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Yes</w:t>
            </w:r>
          </w:p>
        </w:tc>
        <w:tc>
          <w:tcPr>
            <w:tcW w:type="dxa" w:w="1247"/>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10</w:t>
            </w:r>
          </w:p>
        </w:tc>
      </w:tr>
      <w:tr>
        <w:tc>
          <w:tcPr>
            <w:tcW w:type="dxa" w:w="238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Babyrousa celebensis</w:t>
            </w:r>
          </w:p>
        </w:tc>
        <w:tc>
          <w:tcPr>
            <w:tcW w:type="dxa" w:w="238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Sulawesi Babirusa</w:t>
            </w:r>
          </w:p>
        </w:tc>
        <w:tc>
          <w:tcPr>
            <w:tcW w:type="dxa" w:w="204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Vulnerable</w:t>
            </w:r>
          </w:p>
        </w:tc>
        <w:tc>
          <w:tcPr>
            <w:tcW w:type="dxa" w:w="136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Decreasing</w:t>
            </w:r>
          </w:p>
        </w:tc>
        <w:tc>
          <w:tcPr>
            <w:tcW w:type="dxa" w:w="113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Yes</w:t>
            </w:r>
          </w:p>
        </w:tc>
        <w:tc>
          <w:tcPr>
            <w:tcW w:type="dxa" w:w="1247"/>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33</w:t>
            </w:r>
          </w:p>
        </w:tc>
      </w:tr>
      <w:tr>
        <w:tc>
          <w:tcPr>
            <w:tcW w:type="dxa" w:w="238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Babyrousa babyrussa</w:t>
            </w:r>
          </w:p>
        </w:tc>
        <w:tc>
          <w:tcPr>
            <w:tcW w:type="dxa" w:w="238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Hairy Babirusa</w:t>
            </w:r>
          </w:p>
        </w:tc>
        <w:tc>
          <w:tcPr>
            <w:tcW w:type="dxa" w:w="204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Vulnerable</w:t>
            </w:r>
          </w:p>
        </w:tc>
        <w:tc>
          <w:tcPr>
            <w:tcW w:type="dxa" w:w="1361"/>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Decreasing</w:t>
            </w:r>
          </w:p>
        </w:tc>
        <w:tc>
          <w:tcPr>
            <w:tcW w:type="dxa" w:w="1134"/>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No</w:t>
            </w:r>
          </w:p>
        </w:tc>
        <w:tc>
          <w:tcPr>
            <w:tcW w:type="dxa" w:w="1247"/>
            <w:shd w:val="clear" w:color="auto" w:fill="F9FBF9"/>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14</w:t>
            </w:r>
          </w:p>
        </w:tc>
      </w:tr>
      <w:tr>
        <w:tc>
          <w:tcPr>
            <w:tcW w:type="dxa" w:w="238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i w:val="0"/>
                <w:color w:val="222222"/>
                <w:sz w:val="14"/>
              </w:rPr>
              <w:t>Tarsius tarsier</w:t>
            </w:r>
          </w:p>
        </w:tc>
        <w:tc>
          <w:tcPr>
            <w:tcW w:type="dxa" w:w="238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left"/>
            </w:pPr>
            <w:r>
              <w:rPr>
                <w:b w:val="0"/>
                <w:i w:val="0"/>
                <w:color w:val="222222"/>
                <w:sz w:val="14"/>
              </w:rPr>
              <w:t>Spectral Tarsier</w:t>
            </w:r>
          </w:p>
        </w:tc>
        <w:tc>
          <w:tcPr>
            <w:tcW w:type="dxa" w:w="204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Vulnerable</w:t>
            </w:r>
          </w:p>
        </w:tc>
        <w:tc>
          <w:tcPr>
            <w:tcW w:type="dxa" w:w="1361"/>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Decreasing</w:t>
            </w:r>
          </w:p>
        </w:tc>
        <w:tc>
          <w:tcPr>
            <w:tcW w:type="dxa" w:w="1134"/>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No</w:t>
            </w:r>
          </w:p>
        </w:tc>
        <w:tc>
          <w:tcPr>
            <w:tcW w:type="dxa" w:w="1247"/>
            <w:shd w:val="clear" w:color="auto" w:fill="FFFFFF"/>
            <w:tcMar>
              <w:top w:w="16" w:type="dxa"/>
              <w:bottom w:w="16" w:type="dxa"/>
              <w:left w:w="40" w:type="dxa"/>
              <w:right w:w="40" w:type="dxa"/>
            </w:tcMar>
            <w:tcBorders>
              <w:top w:val="single" w:sz="4" w:color="D8D8D8" w:space="0"/>
              <w:left w:val="single" w:sz="4" w:color="D8D8D8" w:space="0"/>
              <w:bottom w:val="single" w:sz="4" w:color="D8D8D8" w:space="0"/>
              <w:right w:val="single" w:sz="4" w:color="D8D8D8" w:space="0"/>
            </w:tcBorders>
          </w:tcPr>
          <w:p>
            <w:pPr>
              <w:spacing w:before="0" w:after="0" w:line="240" w:lineRule="auto"/>
              <w:jc w:val="center"/>
            </w:pPr>
            <w:r>
              <w:rPr>
                <w:b w:val="0"/>
                <w:i w:val="0"/>
                <w:color w:val="222222"/>
                <w:sz w:val="14"/>
              </w:rPr>
              <w:t>12</w:t>
            </w:r>
          </w:p>
        </w:tc>
      </w:tr>
    </w:tbl>
    <w:p>
      <w:pPr>
        <w:spacing w:before="30" w:after="40" w:line="252" w:lineRule="auto"/>
        <w:ind w:left="100"/>
        <w:shd w:val="clear" w:color="auto" w:fill="EDF7EE"/>
        <w:pBdr>
          <w:left w:val="single" w:sz="12" w:space="4" w:color="2E7D32"/>
        </w:pBdr>
      </w:pPr>
      <w:r>
        <w:rPr>
          <w:b/>
          <w:i w:val="0"/>
          <w:color w:val="1B5E20"/>
          <w:sz w:val="15"/>
        </w:rPr>
        <w:t>Formulasi Matematis (Keterancaman Spesies Wallacea &amp; Penanda Mining Threat):</w:t>
        <w:br/>
      </w:r>
      <w:r>
        <w:rPr>
          <w:rFonts w:ascii="Consolas" w:hAnsi="Consolas"/>
          <w:b w:val="0"/>
          <w:i w:val="0"/>
          <w:color w:val="104010"/>
          <w:sz w:val="14"/>
        </w:rPr>
        <w:t>Proporsi Status Kritis (%) = ( Jumlah Spesies CR &amp; EN ÷ Total Spesies ) × 100%  |  Proporsi Mining Threat (%) = ( Jumlah Spesies Terancam Tambang ÷ Total Spesies ) × 100%</w:t>
        <w:br/>
      </w:r>
      <w:r>
        <w:rPr>
          <w:b/>
          <w:i w:val="0"/>
          <w:color w:val="1B5E20"/>
          <w:sz w:val="15"/>
        </w:rPr>
        <w:t>Persamaan Substitusi:</w:t>
        <w:br/>
      </w:r>
      <w:r>
        <w:rPr>
          <w:rFonts w:ascii="Consolas" w:hAnsi="Consolas"/>
          <w:b w:val="0"/>
          <w:i w:val="0"/>
          <w:color w:val="222222"/>
          <w:sz w:val="14"/>
        </w:rPr>
        <w:t>Titik Occurrence GBIF = 269 Titik Terverifikasi (Maleo 95, Macaca 87, Babirusa 47, Anoa 28, Tarsius 12)</w:t>
        <w:br/>
        <w:t>Status Konservasi Kritis = ( ( 2 Spesies CR + 2 Spesies EN ) ÷ 7 Spesies ) × 100% = 57,14% Sangat Terancam Punah</w:t>
        <w:br/>
        <w:t>Penanda Mining Threat = ( 4 Spesies ÷ 7 Spesies ) × 100% = 57,14% Beririsan Langsung dengan Konsesi IUP Nikel</w:t>
      </w:r>
      <w:r>
        <w:rPr>
          <w:b w:val="0"/>
          <w:i/>
          <w:color w:val="555555"/>
          <w:sz w:val="14"/>
        </w:rPr>
        <w:br/>
        <w:t>Ket: Spesies Anoa dan Babirusa terbukti secara empiris menghadapi ancaman kepunahan langsung akibat fragmentasi habitat konsesi pertambangan.</w:t>
      </w:r>
    </w:p>
    <w:sectPr w:rsidR="00FC693F" w:rsidRPr="0006063C" w:rsidSect="00034616">
      <w:pgSz w:w="12240" w:h="15840"/>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