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2E7D32"/>
          <w:sz w:val="17"/>
        </w:rPr>
        <w:t>RINGKASAN EKSEKUTIF METODOLOGIS</w:t>
      </w:r>
    </w:p>
    <w:p>
      <w:pPr>
        <w:spacing w:before="0" w:after="40"/>
        <w:pBdr>
          <w:bottom w:val="single" w:sz="12" w:space="3" w:color="1B5E20"/>
        </w:pBdr>
      </w:pPr>
      <w:r>
        <w:rPr>
          <w:rFonts w:ascii="Calibri" w:hAnsi="Calibri"/>
          <w:b/>
          <w:i w:val="0"/>
          <w:color w:val="1B5E20"/>
          <w:sz w:val="30"/>
        </w:rPr>
        <w:t>BAB 2: METODOLOGI ANALISIS KUALITAS LINGKUNGAN DI KAWASAN SMELTER</w:t>
      </w:r>
    </w:p>
    <w:p>
      <w:pPr>
        <w:spacing w:before="20" w:after="100"/>
      </w:pPr>
      <w:r>
        <w:rPr>
          <w:rFonts w:ascii="Calibri" w:hAnsi="Calibri"/>
          <w:b w:val="0"/>
          <w:i/>
          <w:color w:val="555555"/>
          <w:sz w:val="16"/>
        </w:rPr>
        <w:t xml:space="preserve">Studi Daya Dukung &amp; Daya Tampung Lingkungan Hidup (D3TLH) Sulawesi · </w:t>
      </w:r>
      <w:r>
        <w:rPr>
          <w:rFonts w:ascii="Calibri" w:hAnsi="Calibri"/>
          <w:b/>
          <w:i/>
          <w:color w:val="1B5E20"/>
          <w:sz w:val="16"/>
        </w:rPr>
        <w:t>Center of Economic and Law Studies (CELIOS)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A.  </w:t>
      </w:r>
      <w:r>
        <w:rPr>
          <w:rFonts w:ascii="Calibri" w:hAnsi="Calibri"/>
          <w:b/>
          <w:i w:val="0"/>
          <w:color w:val="1B5E20"/>
          <w:sz w:val="22"/>
        </w:rPr>
        <w:t>DESAIN PENELITIAN &amp; TUJUAN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ini menggunakan </w:t>
      </w:r>
      <w:r>
        <w:rPr>
          <w:rFonts w:ascii="Calibri" w:hAnsi="Calibri"/>
          <w:b/>
          <w:i w:val="0"/>
          <w:color w:val="222222"/>
          <w:sz w:val="17"/>
        </w:rPr>
        <w:t>desain audit spasial-statistik kuantitatif dan inferensial bivariat terintegrasi</w:t>
      </w:r>
      <w:r>
        <w:rPr>
          <w:rFonts w:ascii="Calibri" w:hAnsi="Calibri"/>
          <w:b w:val="0"/>
          <w:i w:val="0"/>
          <w:color w:val="222222"/>
          <w:sz w:val="17"/>
        </w:rPr>
        <w:t xml:space="preserve"> untuk mengukur dampak degradasi lingkungan hidup akibat pemusatan fasilitas smelter nikel dan kawasan industri bertenaga PLTU captive batubara di enam provinsi Pulau Sulawesi sepanjang satu dekade (</w:t>
      </w:r>
      <w:r>
        <w:rPr>
          <w:rFonts w:ascii="Calibri" w:hAnsi="Calibri"/>
          <w:b/>
          <w:i w:val="0"/>
          <w:color w:val="222222"/>
          <w:sz w:val="17"/>
        </w:rPr>
        <w:t>2014–2024</w:t>
      </w:r>
      <w:r>
        <w:rPr>
          <w:rFonts w:ascii="Calibri" w:hAnsi="Calibri"/>
          <w:b w:val="0"/>
          <w:i w:val="0"/>
          <w:color w:val="222222"/>
          <w:sz w:val="17"/>
        </w:rPr>
        <w:t>). Tiga tujuan utama metodologis Bab 2 meliputi: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1. </w:t>
      </w:r>
      <w:r>
        <w:rPr>
          <w:rFonts w:ascii="Calibri" w:hAnsi="Calibri"/>
          <w:b/>
          <w:i w:val="0"/>
          <w:color w:val="222222"/>
          <w:sz w:val="17"/>
        </w:rPr>
        <w:t xml:space="preserve">Membongkar Bias Pengenceran Agregat (Aggregate Dilution Bias): </w:t>
      </w:r>
      <w:r>
        <w:rPr>
          <w:rFonts w:ascii="Calibri" w:hAnsi="Calibri"/>
          <w:b w:val="0"/>
          <w:i w:val="0"/>
          <w:color w:val="222222"/>
          <w:sz w:val="17"/>
        </w:rPr>
        <w:t>Membuktikan bahwa indeks mutu air (IKA) dan udara (IKU) resmi pada skala provinsi menyamarkan tingkat keparahan polusi riil di sekitar tapak cerobong PLTU captive dan sungai pembuangan limbah tailing smelter.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2. </w:t>
      </w:r>
      <w:r>
        <w:rPr>
          <w:rFonts w:ascii="Calibri" w:hAnsi="Calibri"/>
          <w:b/>
          <w:i w:val="0"/>
          <w:color w:val="222222"/>
          <w:sz w:val="17"/>
        </w:rPr>
        <w:t xml:space="preserve">Menguji Kausalitas Eksekusi Ruang vs Deforestasi: </w:t>
      </w:r>
      <w:r>
        <w:rPr>
          <w:rFonts w:ascii="Calibri" w:hAnsi="Calibri"/>
          <w:b w:val="0"/>
          <w:i w:val="0"/>
          <w:color w:val="222222"/>
          <w:sz w:val="17"/>
        </w:rPr>
        <w:t>Mengukur kekuatan hubungan dan rasio peluang (Odds Ratio) antara alokasi luasan izin konsesi industri nikel terhadap percepatan kehilangan tutupan hutan alam primer.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3. </w:t>
      </w:r>
      <w:r>
        <w:rPr>
          <w:rFonts w:ascii="Calibri" w:hAnsi="Calibri"/>
          <w:b/>
          <w:i w:val="0"/>
          <w:color w:val="222222"/>
          <w:sz w:val="17"/>
        </w:rPr>
        <w:t xml:space="preserve">Kuantifikasi Atribusi Karbon &amp; Ancaman Kepunahan Satwa: </w:t>
      </w:r>
      <w:r>
        <w:rPr>
          <w:rFonts w:ascii="Calibri" w:hAnsi="Calibri"/>
          <w:b w:val="0"/>
          <w:i w:val="0"/>
          <w:color w:val="222222"/>
          <w:sz w:val="17"/>
        </w:rPr>
        <w:t>Mendekomposisi faktor pendorong deforestasi guna membuktikan dominasi pelepasan emisi CO₂ serta memetakan pertampalan spasial titik perjumpaan spesies endemik kunci Wallacea dengan konsesi tambang.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B.  </w:t>
      </w:r>
      <w:r>
        <w:rPr>
          <w:rFonts w:ascii="Calibri" w:hAnsi="Calibri"/>
          <w:b/>
          <w:i w:val="0"/>
          <w:color w:val="1B5E20"/>
          <w:sz w:val="22"/>
        </w:rPr>
        <w:t>SUMBER DATA &amp; CAKUPAN WILAYAH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Penelitian mencakup seluruh wilayah daratan dan pesisir Pulau Sulawesi yang terbagi ke dalam </w:t>
      </w:r>
      <w:r>
        <w:rPr>
          <w:rFonts w:ascii="Calibri" w:hAnsi="Calibri"/>
          <w:b/>
          <w:i w:val="0"/>
          <w:color w:val="222222"/>
          <w:sz w:val="17"/>
        </w:rPr>
        <w:t>6 provinsi</w:t>
      </w:r>
      <w:r>
        <w:rPr>
          <w:rFonts w:ascii="Calibri" w:hAnsi="Calibri"/>
          <w:b w:val="0"/>
          <w:i w:val="0"/>
          <w:color w:val="222222"/>
          <w:sz w:val="17"/>
        </w:rPr>
        <w:t xml:space="preserve"> (Sulawesi Tengah, Sulawesi Tenggara, Sulawesi Selatan, Sulawesi Barat, Gorontalo, Sulawesi Utara) serta </w:t>
      </w:r>
      <w:r>
        <w:rPr>
          <w:rFonts w:ascii="Calibri" w:hAnsi="Calibri"/>
          <w:b/>
          <w:i w:val="0"/>
          <w:color w:val="222222"/>
          <w:sz w:val="17"/>
        </w:rPr>
        <w:t>kawasan industri terpadu sentra nikel</w:t>
      </w:r>
      <w:r>
        <w:rPr>
          <w:rFonts w:ascii="Calibri" w:hAnsi="Calibri"/>
          <w:b w:val="0"/>
          <w:i w:val="0"/>
          <w:color w:val="222222"/>
          <w:sz w:val="17"/>
        </w:rPr>
        <w:t>. Data yang dihimpun berbentuk panel tahunan (2014–2024) berbasis data terbuka resmi lintas kementerian, registri global, dan citra satelit independen:</w:t>
      </w:r>
    </w:p>
    <w:p>
      <w:pPr>
        <w:spacing w:before="0" w:after="60" w:line="252" w:lineRule="auto"/>
        <w:jc w:val="both"/>
      </w:pP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Kementerian Lingkungan Hidup dan Kehutanan (Ditjen PPKL): </w:t>
      </w:r>
      <w:r>
        <w:rPr>
          <w:rFonts w:ascii="Calibri" w:hAnsi="Calibri"/>
          <w:b w:val="0"/>
          <w:i w:val="0"/>
          <w:color w:val="222222"/>
          <w:sz w:val="17"/>
        </w:rPr>
        <w:t>Indeks Kualitas Lingkungan Hidup (IKLH), Indeks Kualitas Air (IKA), Indeks Kualitas Udara (IKU), dan data status mutu sungai.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ESDM (MODI &amp; MinerbaOne) &amp; Kementerian Investasi (BKPM): </w:t>
      </w:r>
      <w:r>
        <w:rPr>
          <w:rFonts w:ascii="Calibri" w:hAnsi="Calibri"/>
          <w:b w:val="0"/>
          <w:i w:val="0"/>
          <w:color w:val="222222"/>
          <w:sz w:val="17"/>
        </w:rPr>
        <w:t>Inventarisasi unit fasilitas smelter nikel dan alokasi konsesi pertambangan.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Energy Monitor (GEM) &amp; RUPTL PLN: </w:t>
      </w:r>
      <w:r>
        <w:rPr>
          <w:rFonts w:ascii="Calibri" w:hAnsi="Calibri"/>
          <w:b w:val="0"/>
          <w:i w:val="0"/>
          <w:color w:val="222222"/>
          <w:sz w:val="17"/>
        </w:rPr>
        <w:t>Registri geospasial unit dan kapasitas operasional PLTU captive industri batubara off-grid (Megawatt).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Global Forest Watch (GFW / Hansen UMD) &amp; IPCC: </w:t>
      </w:r>
      <w:r>
        <w:rPr>
          <w:rFonts w:ascii="Calibri" w:hAnsi="Calibri"/>
          <w:b w:val="0"/>
          <w:i w:val="0"/>
          <w:color w:val="222222"/>
          <w:sz w:val="17"/>
        </w:rPr>
        <w:t>Time-series kehilangan tutupan pohon (Ha) dan estimasi emisi gas rumah kaca (Megagram CO₂e) per faktor pendorong.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NASA TROPOMI (Sentinel-5P): </w:t>
      </w:r>
      <w:r>
        <w:rPr>
          <w:rFonts w:ascii="Calibri" w:hAnsi="Calibri"/>
          <w:b w:val="0"/>
          <w:i w:val="0"/>
          <w:color w:val="222222"/>
          <w:sz w:val="17"/>
        </w:rPr>
        <w:t>Konsentrasi troposferik nitrogen dioksida (NO₂ rasio µmol/m²) di atas kawasan industri nikel.</w:t>
        <w:br/>
      </w:r>
      <w:r>
        <w:rPr>
          <w:rFonts w:ascii="Calibri" w:hAnsi="Calibri"/>
          <w:b/>
          <w:i w:val="0"/>
          <w:color w:val="222222"/>
          <w:sz w:val="17"/>
        </w:rPr>
        <w:t xml:space="preserve">• </w:t>
      </w:r>
      <w:r>
        <w:rPr>
          <w:rFonts w:ascii="Calibri" w:hAnsi="Calibri"/>
          <w:b/>
          <w:i w:val="0"/>
          <w:color w:val="222222"/>
          <w:sz w:val="17"/>
        </w:rPr>
        <w:t xml:space="preserve">GBIF &amp; IUCN Red List: </w:t>
      </w:r>
      <w:r>
        <w:rPr>
          <w:rFonts w:ascii="Calibri" w:hAnsi="Calibri"/>
          <w:b w:val="0"/>
          <w:i w:val="0"/>
          <w:color w:val="222222"/>
          <w:sz w:val="17"/>
        </w:rPr>
        <w:t>269 titik koordinat geospasial perjumpaan aktual (occurrences) 7 spesies endemik kunci Wallacea dan status ancaman pertambangan (Mining Threat).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C.  </w:t>
      </w:r>
      <w:r>
        <w:rPr>
          <w:rFonts w:ascii="Calibri" w:hAnsi="Calibri"/>
          <w:b/>
          <w:i w:val="0"/>
          <w:color w:val="1B5E20"/>
          <w:sz w:val="22"/>
        </w:rPr>
        <w:t>OPERASIONALISASI VARIABEL &amp; INDIKATOR RISET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 xml:space="preserve">Seluruh variabel lingkungan, emisi, ruang, dan keanekaragaman hayati dioperasionalkan secara terukur ke dalam </w:t>
      </w:r>
      <w:r>
        <w:rPr>
          <w:rFonts w:ascii="Calibri" w:hAnsi="Calibri"/>
          <w:b/>
          <w:i w:val="0"/>
          <w:color w:val="222222"/>
          <w:sz w:val="17"/>
        </w:rPr>
        <w:t>10 indikator empiris terpadu</w:t>
      </w:r>
      <w:r>
        <w:rPr>
          <w:rFonts w:ascii="Calibri" w:hAnsi="Calibri"/>
          <w:b w:val="0"/>
          <w:i w:val="0"/>
          <w:color w:val="222222"/>
          <w:sz w:val="17"/>
        </w:rPr>
        <w:t xml:space="preserve"> sebagaimana dirangkum pada matriks operasional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Matriks Operasionalisasi Variabel dan Sumber Data Resmi Bab 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No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Indikator Riset</w:t>
            </w:r>
          </w:p>
        </w:tc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Pengukuran</w:t>
            </w:r>
          </w:p>
        </w:tc>
        <w:tc>
          <w:tcPr>
            <w:tcW w:type="dxa" w:w="124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Satuan</w:t>
            </w:r>
          </w:p>
        </w:tc>
        <w:tc>
          <w:tcPr>
            <w:tcW w:type="dxa" w:w="2835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Sumber Data Primer Resmi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Kepadatan Fasilitas Smelter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Pemusatan Industri Pirometalurgi &amp; HPAL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Unit Fasilitas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ESDM MODI &amp; MinerbaOne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2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Air (IKA)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Status Mutu Air Sungai &amp; Pesisir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Skor (0–100)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 (IKLH)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3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Estimasi Timbulan Limbah B3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Residu Tailing &amp; Terak Slag Nikel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Ton / Tahun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Amdal Industri &amp; Neraca KLHK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4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Kapasitas PLTU Captive Batubara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Intensitas Pembangkit Listrik Off-Grid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Megawatt (MW)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Global Energy Monitor &amp; RUPTL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5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Udara (IKU)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Status Mutu Udara Ambien Agregat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Poin Skor (0–100)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Ditjen PPKL KLHK (IKLH)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6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Konsentrasi Troposferik NO₂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Pencemaran Polutan Udara Satelit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µmol/m²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Satelit NASA TROPOMI (Sentinel-5P)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7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Konsesi IUP &amp; Kawasan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Alokasi Ruang Industri Ekstraktif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ESDM MODI &amp; ATR/BPN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8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Deforestasi Hutan Alam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Kehilangan Tutupan Pohon Alami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Hektar (Ha)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Global Forest Watch (Hansen UMD)</w:t>
            </w:r>
          </w:p>
        </w:tc>
      </w:tr>
      <w:tr>
        <w:tc>
          <w:tcPr>
            <w:tcW w:type="dxa" w:w="454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9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Atribusi Emisi Karbon CO₂</w:t>
            </w:r>
          </w:p>
        </w:tc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Pelepasan GRK per Faktor Pendorong</w:t>
            </w:r>
          </w:p>
        </w:tc>
        <w:tc>
          <w:tcPr>
            <w:tcW w:type="dxa" w:w="124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Megagram CO₂e</w:t>
            </w:r>
          </w:p>
        </w:tc>
        <w:tc>
          <w:tcPr>
            <w:tcW w:type="dxa" w:w="2835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GFW &amp; IPCC Tier-1 Methodology</w:t>
            </w:r>
          </w:p>
        </w:tc>
      </w:tr>
      <w:tr>
        <w:tc>
          <w:tcPr>
            <w:tcW w:type="dxa" w:w="454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10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Sebaran Spesies Endemik &amp; IUCN</w:t>
            </w:r>
          </w:p>
        </w:tc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Keterancaman Habitat Wallacea</w:t>
            </w:r>
          </w:p>
        </w:tc>
        <w:tc>
          <w:tcPr>
            <w:tcW w:type="dxa" w:w="124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Titik &amp; Kategori</w:t>
            </w:r>
          </w:p>
        </w:tc>
        <w:tc>
          <w:tcPr>
            <w:tcW w:type="dxa" w:w="2835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GBIF API &amp; IUCN Red List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D.  </w:t>
      </w:r>
      <w:r>
        <w:rPr>
          <w:rFonts w:ascii="Calibri" w:hAnsi="Calibri"/>
          <w:b/>
          <w:i w:val="0"/>
          <w:color w:val="1B5E20"/>
          <w:sz w:val="22"/>
        </w:rPr>
        <w:t>KERANGKA ANALISIS &amp; FORMULASI MATEMATIS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2.1 Dampak Limbah Tailing: Konsentrasi Smelter vs Indeks Kualitas Air (IKA)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Pemusatan unit pengolahan pirometalurgi dan hidrometalurgi dihitung berdasarkan agregasi titik fasilitas di setiap provinsi guna mengukur tekanan potensi pelepasan tailing dan slag nikel terhadap baku mutu sungai: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Kepadatan Smelter (Unit) = Σ [ Fasilitas Smelter Beroperasi &amp; Konstruksi di Provinsi ]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Status mutu air diukur menggunakan rata-rata indeks IKA provinsi. Protokol pengujian kontinjensi 2×2 diterapkan untuk menguji signifikansi hubungan antara kepadatan smelter dan status IKA kritis berbasis ambang median: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2.1a: Konfigurasi Variabel Uji Chi-Square (Sub-bab 2.1)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2.1)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Jumlah Smelter: Total fasilitas smelter (beroperasi maupun konstruksi).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Air: Skor baku mutu air per provinsi.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Tidak ada hubungan signifikan secara statistik antara kepadatan smelter dengan Indeks Kualitas Air.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Ada hubungan negatif antara kepadatan smelter dengan Indeks Kualitas Air (semakin padat smelter, semakin kritis mutu air).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smelter menurunkan mutu air).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Nilai Median Data Panel 2016-2024 (N=54): X &gt;= 75.0 fasilitas; Y &gt;= 55.9 poin.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Smelter Tinggi &amp; IKA Kritis; mengukur risiko IKA kritis pada kelompok kepadatan smelter tinggi.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2.2 Kepungan Asap: Kapasitas PLTU vs Indeks Kualitas Udara (IKU)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Akumulasi beban emisi pembakaran batubara dihitung dari total kapasitas pembangkit listrik tenaga uap captive terpasang pada kawasan industri nikel: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Kapasitas PLTU (MW) = Σ [ Kapasitas PLTU Captive Terpasang di Koridor Industri ]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Pengujian statistik tabulasi silang mengevaluasi interaksi antara kapasitas pembangkit off-grid terhadap penurunan skor mutu udara ambien (IKU) serta divalidasi oleh densitas polutan satelit NO₂: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2.2a: Konfigurasi Variabel Uji Chi-Square (Sub-bab 2.2)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2.2)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Kapasitas PLTU (MW): Total kapasitas PLTU Captive yang beroperasi.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Indeks Kualitas Udara: Skor baku mutu udara ambien per provinsi.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Tidak ada hubungan signifikan secara statistik antara kapasitas PLTU dengan Indeks Kualitas Udara.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Ada hubungan negatif antara kapasitas PLTU dengan Indeks Kualitas Udara (semakin besar kapasitas, semakin kritis mutu udara).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emisi PLTU menurunkan kualitas udara).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Nilai Median Data Panel (N=54): X &gt;= 220.0 MW; Y &gt;= 91.0 poin.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PLTU Tinggi &amp; IKU Kritis; mengukur risiko IKU kritis pada kelompok kapasitas PLTU tinggi.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2.3 Eksekusi Ruang: Ekspansi Kawasan Industri vs Tekanan Ekologis (Deforestasi)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Total alokasi ruang konsesi industri nikel dihitung melalui penjumlahan luasan izin usaha pertambangan (IUP) aktif dan zonasi kawasan industri terpadu: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Total Alokasi Ruang (Ha) = Σ [ Luas Konsesi IUP Tambang + Luas Tapak Kawasan Industri ]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Uji independensi Chi-Square (α = 5%, df = 1) dan Odds Ratio diterapkan untuk menguji hipotesis pembuktian apakah penguasaan ruang skala besar meningkatkan risiko deforestasi terbuka secara eksponensial: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Tabel 2.3a: Konfigurasi Variabel Uji Chi-Square (Sub-bab 2.3)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Komponen Uji</w:t>
            </w:r>
          </w:p>
        </w:tc>
        <w:tc>
          <w:tcPr>
            <w:tcW w:type="dxa" w:w="708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Definisi Variabel (Sub-bab 2.3)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Independen (X)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 Ekspansi Industri (Ha) / Luas IUP &amp; Kawasan (Ha)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Variabel Dependen (Y)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Kehilangan Tutupan Pohon (Ha) / Total Deforestasi Alam (Ha)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Nol (H0)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Luasan ekspansi kawasan industri dan perizinan tambang tidak berhubungan dengan laju deforestasi.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Hipotesis Alternatif (H1)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Alokasi izin lahan (Luas IUP &amp; Kawasan) berkorelasi positif dengan laju deforestasi.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Decision Rule (Alpha 5%)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Jika P-Value &lt; 0.05, maka Tolak H0 (terbukti signifikan bahwa ekspansi izin lahan mendorong deforestasi).</w:t>
            </w:r>
          </w:p>
        </w:tc>
      </w:tr>
      <w:tr>
        <w:tc>
          <w:tcPr>
            <w:tcW w:type="dxa" w:w="2551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Threshold Kategori</w:t>
            </w:r>
          </w:p>
        </w:tc>
        <w:tc>
          <w:tcPr>
            <w:tcW w:type="dxa" w:w="708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Nilai Median Data Panel (N=60): X &gt;= 138,148.8 Ha; Y &gt;= 15,917.7 Ha.</w:t>
            </w:r>
          </w:p>
        </w:tc>
      </w:tr>
      <w:tr>
        <w:tc>
          <w:tcPr>
            <w:tcW w:type="dxa" w:w="2551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Orientasi Odds Ratio</w:t>
            </w:r>
          </w:p>
        </w:tc>
        <w:tc>
          <w:tcPr>
            <w:tcW w:type="dxa" w:w="708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OR = ( a × d ) / ( b × c ) dengan a = IUP Tinggi &amp; Deforestasi Tinggi/Parah; mengukur risiko deforestasi parah pada kelompok luas IUP tinggi.</w:t>
            </w:r>
          </w:p>
        </w:tc>
      </w:tr>
    </w:tbl>
    <w:p>
      <w:pPr>
        <w:spacing w:before="0" w:after="60"/>
      </w:pP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2.4 Driver Deforestasi: Analisis Faktor Pendorong Perubahan Tutupan Hutan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Dekomposisi faktor pendorong deforestasi mengkuantifikasi porsi relatif pembabatan hutan alami ke dalam empat kategori pendorong utama, serta menghitung kuantitas pelepasan karbon teratribusi: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Proporsi Driver (%) = [ Deforestasi Driver Spesifik (Ha) / Total Deforestasi (Ha) ] × 100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Atribusi Emisi CO₂ (Mg) = Total Deforestasi Driver (Ha) × Koefisien Karbon Lanskap (Mg CO₂/Ha)</w:t>
      </w:r>
    </w:p>
    <w:p>
      <w:pPr>
        <w:keepNext/>
        <w:spacing w:before="100" w:after="40"/>
      </w:pPr>
      <w:r>
        <w:rPr>
          <w:rFonts w:ascii="Calibri" w:hAnsi="Calibri"/>
          <w:b/>
          <w:i w:val="0"/>
          <w:color w:val="2E7D32"/>
          <w:sz w:val="19"/>
        </w:rPr>
        <w:t>2.5 Kehancuran Biodiversitas: Dampak Terhadap Habitat Satwa Endemik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Analisis keterancaman keanekaragaman hayati mengintegrasikan 269 titik perjumpaan aktual (occurrences) GBIF dari 7 spesies endemik kunci Wallacea dengan analisis tumpang tindih spasial (overlay) poligon konsesi pertambangan dan status ancaman kepunahan internasional (IUCN Red List):</w:t>
      </w:r>
    </w:p>
    <w:p>
      <w:pPr>
        <w:spacing w:before="40" w:after="80"/>
        <w:ind w:left="160"/>
        <w:shd w:val="clear" w:color="auto" w:fill="EDF7EE"/>
      </w:pPr>
      <w:r>
        <w:rPr>
          <w:rFonts w:ascii="Consolas" w:hAnsi="Consolas"/>
          <w:b w:val="0"/>
          <w:i w:val="0"/>
          <w:color w:val="2E7D32"/>
          <w:sz w:val="16"/>
        </w:rPr>
        <w:t>Kepadatan Occurrence (Titik/Km²) = Jumlah Titik Perjumpaan GBIF / Luas Wilayah Observasi (Km²)</w:t>
      </w: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E.  </w:t>
      </w:r>
      <w:r>
        <w:rPr>
          <w:rFonts w:ascii="Calibri" w:hAnsi="Calibri"/>
          <w:b/>
          <w:i w:val="0"/>
          <w:color w:val="1B5E20"/>
          <w:sz w:val="22"/>
        </w:rPr>
        <w:t>KORESPONDENSI METODOLOGI TERHADAP SUB-BAB LAPORAN BAB 2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Setiap sub-bab analitis pada Bab 2 ditopang oleh metode kuantitatif yang presisi dan menghasilkan sintesis bukti empiris terstandarisasi sebagaimana dirangkum pada matriks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417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Sub-bab</w:t>
            </w:r>
          </w:p>
        </w:tc>
        <w:tc>
          <w:tcPr>
            <w:tcW w:type="dxa" w:w="3118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Fokus Kajian Empiris</w:t>
            </w:r>
          </w:p>
        </w:tc>
        <w:tc>
          <w:tcPr>
            <w:tcW w:type="dxa" w:w="5102"/>
            <w:shd w:val="clear" w:color="auto" w:fill="2E7D32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Metode Analitis Utama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2.1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Limbah Tailing &amp; Mutu Air (IKA)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Pemetaan Spasial Smelter, Uji Non-parametrik Chi-Square (χ²), Odds Ratio (OR)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2.2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Emisi PLTU Captive &amp; Mutu Udara (IKU)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Pemetaan Kapasitas Pembangkit MW, Uji Chi-Square (χ²), Validasi Satelit NO₂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2.3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Ekspansi Ruang Industri vs Deforestasi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Animated Bubble Chart Temporal, Uji Chi-Square (χ²), Odds Ratio Risiko (OR)</w:t>
            </w:r>
          </w:p>
        </w:tc>
      </w:tr>
      <w:tr>
        <w:tc>
          <w:tcPr>
            <w:tcW w:type="dxa" w:w="1417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2.4</w:t>
            </w:r>
          </w:p>
        </w:tc>
        <w:tc>
          <w:tcPr>
            <w:tcW w:type="dxa" w:w="3118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Dekomposisi Driver Deforestasi &amp; Emisi CO₂</w:t>
            </w:r>
          </w:p>
        </w:tc>
        <w:tc>
          <w:tcPr>
            <w:tcW w:type="dxa" w:w="5102"/>
            <w:vAlign w:val="center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Agregasi Tabular Atribusi Kausalitas, Proporsi Pendorong, Koefisien Emisi Karbon</w:t>
            </w:r>
          </w:p>
        </w:tc>
      </w:tr>
      <w:tr>
        <w:tc>
          <w:tcPr>
            <w:tcW w:type="dxa" w:w="1417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Sub-bab 2.5</w:t>
            </w:r>
          </w:p>
        </w:tc>
        <w:tc>
          <w:tcPr>
            <w:tcW w:type="dxa" w:w="3118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Fragmentasi Habitat &amp; Satwa Endemik</w:t>
            </w:r>
          </w:p>
        </w:tc>
        <w:tc>
          <w:tcPr>
            <w:tcW w:type="dxa" w:w="5102"/>
            <w:vAlign w:val="center"/>
            <w:shd w:val="clear" w:color="auto" w:fill="F9FBF9"/>
            <w:tcMar>
              <w:top w:w="40" w:type="dxa"/>
              <w:bottom w:w="40" w:type="dxa"/>
              <w:left w:w="80" w:type="dxa"/>
              <w:right w:w="80" w:type="dxa"/>
            </w:tcMar>
            <w:tcBorders>
              <w:top w:val="single" w:sz="4" w:color="D0D7DE" w:space="0"/>
              <w:left w:val="single" w:sz="4" w:color="D0D7DE" w:space="0"/>
              <w:bottom w:val="single" w:sz="4" w:color="D0D7DE" w:space="0"/>
              <w:right w:val="single" w:sz="4" w:color="D0D7DE" w:space="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222222"/>
                <w:sz w:val="15"/>
              </w:rPr>
              <w:t>Spatial Overlay GBIF Occurrence, Sintesis Status Keterancaman IUCN Red List</w:t>
            </w:r>
          </w:p>
        </w:tc>
      </w:tr>
    </w:tbl>
    <w:p>
      <w:pPr>
        <w:spacing w:before="0" w:after="60"/>
      </w:pPr>
    </w:p>
    <w:p>
      <w:pPr>
        <w:keepNext/>
        <w:spacing w:before="160" w:after="60"/>
        <w:pBdr>
          <w:bottom w:val="single" w:sz="8" w:space="3" w:color="1B5E20"/>
        </w:pBdr>
      </w:pPr>
      <w:r>
        <w:rPr>
          <w:rFonts w:ascii="Calibri" w:hAnsi="Calibri"/>
          <w:b/>
          <w:i w:val="0"/>
          <w:color w:val="1B5E20"/>
          <w:sz w:val="22"/>
        </w:rPr>
        <w:t xml:space="preserve">F.  </w:t>
      </w:r>
      <w:r>
        <w:rPr>
          <w:rFonts w:ascii="Calibri" w:hAnsi="Calibri"/>
          <w:b/>
          <w:i w:val="0"/>
          <w:color w:val="1B5E20"/>
          <w:sz w:val="22"/>
        </w:rPr>
        <w:t>BAGAN ALUR KERANGKA KERJA RISET (RESEARCH WORKFLOW)</w:t>
      </w:r>
    </w:p>
    <w:p>
      <w:pPr>
        <w:spacing w:before="0" w:after="60" w:line="252" w:lineRule="auto"/>
        <w:jc w:val="both"/>
      </w:pPr>
      <w:r>
        <w:rPr>
          <w:rFonts w:ascii="Calibri" w:hAnsi="Calibri"/>
          <w:b w:val="0"/>
          <w:i w:val="0"/>
          <w:color w:val="222222"/>
          <w:sz w:val="17"/>
        </w:rPr>
        <w:t>Kerangka operasional metodologi Bab 2 berjalan secara terpadu melalui empat fase berurutan sebagaimana divisualisasikan pada bagan alur kerja riset berikut:</w:t>
      </w:r>
    </w:p>
    <w:p>
      <w:pPr>
        <w:spacing w:before="100" w:after="40"/>
      </w:pPr>
      <w:r>
        <w:rPr>
          <w:rFonts w:ascii="Calibri" w:hAnsi="Calibri"/>
          <w:b/>
          <w:i/>
          <w:color w:val="2E7D32"/>
          <w:sz w:val="17"/>
        </w:rPr>
        <w:t>Bagan Alur 2.1: Alur Logika Kerangka Kerja Riset Bab 2 (Research Workflow)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4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workflow_bab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4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pBdr>
          <w:top w:val="single" w:sz="8" w:space="4" w:color="1B5E20"/>
          <w:left w:val="single" w:sz="8" w:space="4" w:color="1B5E20"/>
          <w:bottom w:val="single" w:sz="8" w:space="4" w:color="1B5E20"/>
          <w:right w:val="single" w:sz="8" w:space="4" w:color="1B5E20"/>
        </w:pBdr>
        <w:shd w:val="clear" w:color="auto" w:fill="F1F8E9"/>
      </w:pPr>
      <w:r>
        <w:rPr>
          <w:rFonts w:ascii="Calibri" w:hAnsi="Calibri"/>
          <w:b/>
          <w:i w:val="0"/>
          <w:color w:val="1B5E20"/>
          <w:sz w:val="17"/>
        </w:rPr>
        <w:t>KERANGKA KELUARAN METODOLOGIS BAB 2:</w:t>
        <w:br/>
      </w:r>
      <w:r>
        <w:rPr>
          <w:rFonts w:ascii="Calibri" w:hAnsi="Calibri"/>
          <w:b w:val="0"/>
          <w:i w:val="0"/>
          <w:color w:val="222222"/>
          <w:sz w:val="16"/>
        </w:rPr>
        <w:t>1. Konfigurasi Baku Mutu Lingkungan vs Titik Tekanan Industri: Mengisolasi anomali aggregate dilution bias pada indeks agregat provinsi (IKA dan IKU) terhadap pencemaran riil di tapak industri.</w:t>
        <w:br/>
        <w:t>2. Konfigurasi Inferensial Eksekusi Ruang: Menguji signifikansi kausalitas alokasi izin lahan terhadap percepatan laju deforestasi tutupan hutan melalui matriks kontinjensi Chi-Square dan rasio peluang (OR).</w:t>
        <w:br/>
        <w:t>3. Konfigurasi Dekomposisi Driver &amp; Integritas Biodiversitas: Mengkuantifikasi kontribusi dominan sektor pertambangan terhadap pelepasan emisi karbon dan memvalidasi krisis keterancaman habitat satwa endemik Wallacea.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