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1B5E20"/>
          <w:sz w:val="24"/>
        </w:rPr>
        <w:t>METODOLOGI PENELITIAN: BAB 1 — EKSPANSI INDUSTRI EKSTRAKTIF DAN INFRASTRUKTUR PENUNJANG DI PULAU SULAWESI</w:t>
      </w:r>
    </w:p>
    <w:p>
      <w:pPr>
        <w:spacing w:before="0" w:after="160"/>
        <w:pBdr>
          <w:bottom w:val="single" w:sz="8" w:space="2" w:color="1B5E20"/>
        </w:pBdr>
      </w:pPr>
      <w:r>
        <w:rPr>
          <w:b w:val="0"/>
          <w:i/>
          <w:color w:val="555555"/>
          <w:sz w:val="16"/>
        </w:rPr>
        <w:t>CELIOS (Center of Economic and Law Studies) · Audit Spasial-Statistik D3TLH Sulawesi (2014–2024) · Ringkasan Eksekutif Metodologis</w:t>
      </w:r>
    </w:p>
    <w:p>
      <w:pPr>
        <w:keepNext/>
        <w:spacing w:before="220" w:after="60"/>
        <w:pBdr>
          <w:bottom w:val="single" w:sz="6" w:space="2" w:color="2E7D32"/>
        </w:pBdr>
      </w:pPr>
      <w:r>
        <w:rPr>
          <w:b/>
          <w:i w:val="0"/>
          <w:color w:val="1B5E20"/>
          <w:sz w:val="20"/>
        </w:rPr>
        <w:t>A.  DESAIN PENELITIAN &amp; TUJUAN</w:t>
      </w:r>
    </w:p>
    <w:p>
      <w:pPr>
        <w:spacing w:after="80" w:line="276" w:lineRule="auto"/>
        <w:jc w:val="both"/>
      </w:pPr>
      <w:r>
        <w:rPr>
          <w:b w:val="0"/>
          <w:i w:val="0"/>
          <w:color w:val="222222"/>
          <w:sz w:val="17"/>
        </w:rPr>
        <w:t xml:space="preserve">Penelitian ini menggunakan </w:t>
      </w:r>
      <w:r>
        <w:rPr>
          <w:b/>
          <w:i w:val="0"/>
          <w:color w:val="222222"/>
          <w:sz w:val="17"/>
        </w:rPr>
        <w:t>desain audit spasial-statistik kuantitatif terintegrasi</w:t>
      </w:r>
      <w:r>
        <w:rPr>
          <w:b w:val="0"/>
          <w:i w:val="0"/>
          <w:color w:val="222222"/>
          <w:sz w:val="17"/>
        </w:rPr>
        <w:t xml:space="preserve"> untuk membedah akselerasi ekspansi industri ekstraktif (tambang nikel, fasilitas pemurnian smelter, dan kawasan industri bertenaga PLTU captive batubara) di enam provinsi Pulau Sulawesi sepanjang satu dekade (</w:t>
      </w:r>
      <w:r>
        <w:rPr>
          <w:b/>
          <w:i w:val="0"/>
          <w:color w:val="222222"/>
          <w:sz w:val="17"/>
        </w:rPr>
        <w:t>2014–2024</w:t>
      </w:r>
      <w:r>
        <w:rPr>
          <w:b w:val="0"/>
          <w:i w:val="0"/>
          <w:color w:val="222222"/>
          <w:sz w:val="17"/>
        </w:rPr>
        <w:t>). Riset ini memanfaatkan data tabular panel resmi lintas kementerian dan lembaga yang disinkronkan secara spasial untuk mengatasi bias perataan makro. Tiga tujuan utama riset meliputi:</w:t>
        <w:br/>
      </w:r>
      <w:r>
        <w:rPr>
          <w:b/>
          <w:i w:val="0"/>
          <w:color w:val="222222"/>
          <w:sz w:val="17"/>
        </w:rPr>
        <w:t xml:space="preserve">1. </w:t>
      </w:r>
      <w:r>
        <w:rPr>
          <w:b/>
          <w:i w:val="0"/>
          <w:color w:val="222222"/>
          <w:sz w:val="17"/>
        </w:rPr>
        <w:t xml:space="preserve">Mengukur Derajat Dominasi Sektoral: </w:t>
      </w:r>
      <w:r>
        <w:rPr>
          <w:b w:val="0"/>
          <w:i w:val="0"/>
          <w:color w:val="222222"/>
          <w:sz w:val="17"/>
        </w:rPr>
        <w:t>Mendekomposisi struktur PDRB provinsi dan kabupaten guna membuktikan pergeseran monolitik menuju sektor ekstraktif mengorbankan ekonomi pertanian rakyat.</w:t>
        <w:br/>
      </w:r>
      <w:r>
        <w:rPr>
          <w:b/>
          <w:i w:val="0"/>
          <w:color w:val="222222"/>
          <w:sz w:val="17"/>
        </w:rPr>
        <w:t xml:space="preserve">2. </w:t>
      </w:r>
      <w:r>
        <w:rPr>
          <w:b/>
          <w:i w:val="0"/>
          <w:color w:val="222222"/>
          <w:sz w:val="17"/>
        </w:rPr>
        <w:t xml:space="preserve">Memetakan Konsentrasi Spasial Klaster Industri: </w:t>
      </w:r>
      <w:r>
        <w:rPr>
          <w:b w:val="0"/>
          <w:i w:val="0"/>
          <w:color w:val="222222"/>
          <w:sz w:val="17"/>
        </w:rPr>
        <w:t>Mengidentifikasi pengelompokan geografis 778 smelter, 9.825 MW PLTU captive, serta 574 izin tambang nikel baru seluas 819.452 Ha.</w:t>
        <w:br/>
      </w:r>
      <w:r>
        <w:rPr>
          <w:b/>
          <w:i w:val="0"/>
          <w:color w:val="222222"/>
          <w:sz w:val="17"/>
        </w:rPr>
        <w:t xml:space="preserve">3. </w:t>
      </w:r>
      <w:r>
        <w:rPr>
          <w:b/>
          <w:i w:val="0"/>
          <w:color w:val="222222"/>
          <w:sz w:val="17"/>
        </w:rPr>
        <w:t xml:space="preserve">Menguji Kausalitas Tekanan Industri vs Deforestasi: </w:t>
      </w:r>
      <w:r>
        <w:rPr>
          <w:b w:val="0"/>
          <w:i w:val="0"/>
          <w:color w:val="222222"/>
          <w:sz w:val="17"/>
        </w:rPr>
        <w:t>Membuktikan secara inferensial signifikansi hubungan antara ekspansi pertambangan/energi dengan laju kehilangan tutupan hutan alam primer dan komoditas.</w:t>
      </w:r>
    </w:p>
    <w:p>
      <w:pPr>
        <w:keepNext/>
        <w:spacing w:before="220" w:after="60"/>
        <w:pBdr>
          <w:bottom w:val="single" w:sz="6" w:space="2" w:color="2E7D32"/>
        </w:pBdr>
      </w:pPr>
      <w:r>
        <w:rPr>
          <w:b/>
          <w:i w:val="0"/>
          <w:color w:val="1B5E20"/>
          <w:sz w:val="20"/>
        </w:rPr>
        <w:t>B.  SUMBER DATA &amp; CAKUPAN WILAYAH</w:t>
      </w:r>
    </w:p>
    <w:p>
      <w:pPr>
        <w:spacing w:after="80" w:line="276" w:lineRule="auto"/>
        <w:jc w:val="both"/>
      </w:pPr>
      <w:r>
        <w:rPr>
          <w:b w:val="0"/>
          <w:i w:val="0"/>
          <w:color w:val="222222"/>
          <w:sz w:val="17"/>
        </w:rPr>
        <w:t xml:space="preserve">Riset ini bersandar secara ketat pada data sekunder resmi dari otoritas statistik, kementerian teknis, dan lembaga pemantau global independen yang telah melalui audit konsistensi: </w:t>
      </w:r>
      <w:r>
        <w:rPr>
          <w:b/>
          <w:i w:val="0"/>
          <w:color w:val="222222"/>
          <w:sz w:val="17"/>
        </w:rPr>
        <w:t>Badan Pusat Statistik (BPS)</w:t>
      </w:r>
      <w:r>
        <w:rPr>
          <w:b w:val="0"/>
          <w:i w:val="0"/>
          <w:color w:val="222222"/>
          <w:sz w:val="17"/>
        </w:rPr>
        <w:t xml:space="preserve"> (Subject 52 PDRB Lapangan Usaha &amp; Keuangan Daerah), </w:t>
      </w:r>
      <w:r>
        <w:rPr>
          <w:b/>
          <w:i w:val="0"/>
          <w:color w:val="222222"/>
          <w:sz w:val="17"/>
        </w:rPr>
        <w:t>Kementerian ESDM</w:t>
      </w:r>
      <w:r>
        <w:rPr>
          <w:b w:val="0"/>
          <w:i w:val="0"/>
          <w:color w:val="222222"/>
          <w:sz w:val="17"/>
        </w:rPr>
        <w:t xml:space="preserve"> (MODI Minerbaone &amp; Database Smelter CGS), </w:t>
      </w:r>
      <w:r>
        <w:rPr>
          <w:b/>
          <w:i w:val="0"/>
          <w:color w:val="222222"/>
          <w:sz w:val="17"/>
        </w:rPr>
        <w:t>Kementerian Investasi / BKPM</w:t>
      </w:r>
      <w:r>
        <w:rPr>
          <w:b w:val="0"/>
          <w:i w:val="0"/>
          <w:color w:val="222222"/>
          <w:sz w:val="17"/>
        </w:rPr>
        <w:t xml:space="preserve"> (Realisasi PMDN Sektoral), </w:t>
      </w:r>
      <w:r>
        <w:rPr>
          <w:b/>
          <w:i w:val="0"/>
          <w:color w:val="222222"/>
          <w:sz w:val="17"/>
        </w:rPr>
        <w:t>Global Energy Monitor (GEM)</w:t>
      </w:r>
      <w:r>
        <w:rPr>
          <w:b w:val="0"/>
          <w:i w:val="0"/>
          <w:color w:val="222222"/>
          <w:sz w:val="17"/>
        </w:rPr>
        <w:t xml:space="preserve"> (Coal Plant Tracker), </w:t>
      </w:r>
      <w:r>
        <w:rPr>
          <w:b/>
          <w:i w:val="0"/>
          <w:color w:val="222222"/>
          <w:sz w:val="17"/>
        </w:rPr>
        <w:t>Global Forest Watch / Hansen UMD</w:t>
      </w:r>
      <w:r>
        <w:rPr>
          <w:b w:val="0"/>
          <w:i w:val="0"/>
          <w:color w:val="222222"/>
          <w:sz w:val="17"/>
        </w:rPr>
        <w:t xml:space="preserve"> (Tree Cover Loss &amp; Commodity Drivers), serta </w:t>
      </w:r>
      <w:r>
        <w:rPr>
          <w:b/>
          <w:i w:val="0"/>
          <w:color w:val="222222"/>
          <w:sz w:val="17"/>
        </w:rPr>
        <w:t>Komite Nasional Keselamatan Transportasi (KNKT)</w:t>
      </w:r>
      <w:r>
        <w:rPr>
          <w:b w:val="0"/>
          <w:i w:val="0"/>
          <w:color w:val="222222"/>
          <w:sz w:val="17"/>
        </w:rPr>
        <w:t xml:space="preserve"> dan Perpres PSN (Simpul Logistik Maritim). Seluruh observasi dihimpun dalam struktur </w:t>
      </w:r>
      <w:r>
        <w:rPr>
          <w:b/>
          <w:i w:val="0"/>
          <w:color w:val="222222"/>
          <w:sz w:val="17"/>
        </w:rPr>
        <w:t>data panel provinsi-tahun (N = 60 observasi: 6 provinsi × 10 tahun)</w:t>
      </w:r>
      <w:r>
        <w:rPr>
          <w:b w:val="0"/>
          <w:i w:val="0"/>
          <w:color w:val="222222"/>
          <w:sz w:val="17"/>
        </w:rPr>
        <w:t xml:space="preserve"> untuk menjamin validitas pengujian parametrik dan non-parametrik.</w:t>
      </w:r>
    </w:p>
    <w:p>
      <w:pPr>
        <w:keepNext/>
        <w:spacing w:before="220" w:after="60"/>
        <w:pBdr>
          <w:bottom w:val="single" w:sz="6" w:space="2" w:color="2E7D32"/>
        </w:pBdr>
      </w:pPr>
      <w:r>
        <w:rPr>
          <w:b/>
          <w:i w:val="0"/>
          <w:color w:val="1B5E20"/>
          <w:sz w:val="20"/>
        </w:rPr>
        <w:t>C.  OPERASIONALISASI VARIABEL &amp; INDIKATOR RISET</w:t>
      </w:r>
    </w:p>
    <w:p>
      <w:pPr>
        <w:spacing w:after="80" w:line="276" w:lineRule="auto"/>
        <w:jc w:val="both"/>
      </w:pPr>
      <w:r>
        <w:rPr>
          <w:b w:val="0"/>
          <w:i w:val="0"/>
          <w:color w:val="222222"/>
          <w:sz w:val="17"/>
        </w:rPr>
        <w:t>Seluruh variabel kuantitatif, kategori analisis, satuan ukur, periode observasi, dan institusi primer resmi yang digunakan dalam penelitian ini disajikan pada matriks operasionalisasi berikut:</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454"/>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w:t>
            </w:r>
          </w:p>
        </w:tc>
        <w:tc>
          <w:tcPr>
            <w:tcW w:type="dxa" w:w="2551"/>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Nama Indikator Empiris</w:t>
            </w:r>
          </w:p>
        </w:tc>
        <w:tc>
          <w:tcPr>
            <w:tcW w:type="dxa" w:w="1814"/>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Kategori Analisis</w:t>
            </w:r>
          </w:p>
        </w:tc>
        <w:tc>
          <w:tcPr>
            <w:tcW w:type="dxa" w:w="1020"/>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Satuan</w:t>
            </w:r>
          </w:p>
        </w:tc>
        <w:tc>
          <w:tcPr>
            <w:tcW w:type="dxa" w:w="1134"/>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Periode</w:t>
            </w:r>
          </w:p>
        </w:tc>
        <w:tc>
          <w:tcPr>
            <w:tcW w:type="dxa" w:w="2665"/>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Institusi &amp; Sumber Data Resmi</w:t>
            </w:r>
          </w:p>
        </w:tc>
      </w:tr>
      <w:tr>
        <w:tc>
          <w:tcPr>
            <w:tcW w:type="dxa" w:w="45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1</w:t>
            </w:r>
          </w:p>
        </w:tc>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Izin Usaha Pertambangan (IUP) Baru</w:t>
            </w:r>
          </w:p>
        </w:tc>
        <w:tc>
          <w:tcPr>
            <w:tcW w:type="dxa" w:w="181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Faktor Tekanan Ekstraktif</w:t>
            </w:r>
          </w:p>
        </w:tc>
        <w:tc>
          <w:tcPr>
            <w:tcW w:type="dxa" w:w="1020"/>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Unit Izin</w:t>
            </w:r>
          </w:p>
        </w:tc>
        <w:tc>
          <w:tcPr>
            <w:tcW w:type="dxa" w:w="113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2014–2024</w:t>
            </w:r>
          </w:p>
        </w:tc>
        <w:tc>
          <w:tcPr>
            <w:tcW w:type="dxa" w:w="266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Data Registry ESDM MODI (Minerbaone)</w:t>
            </w:r>
          </w:p>
        </w:tc>
      </w:tr>
      <w:tr>
        <w:tc>
          <w:tcPr>
            <w:tcW w:type="dxa" w:w="45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w:t>
            </w:r>
          </w:p>
        </w:tc>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Luas Wilayah Konsesi Tambang Baru</w:t>
            </w:r>
          </w:p>
        </w:tc>
        <w:tc>
          <w:tcPr>
            <w:tcW w:type="dxa" w:w="181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Faktor Tekanan Ekstraktif</w:t>
            </w:r>
          </w:p>
        </w:tc>
        <w:tc>
          <w:tcPr>
            <w:tcW w:type="dxa" w:w="1020"/>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Hektar (Ha)</w:t>
            </w:r>
          </w:p>
        </w:tc>
        <w:tc>
          <w:tcPr>
            <w:tcW w:type="dxa" w:w="113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2014–2024</w:t>
            </w:r>
          </w:p>
        </w:tc>
        <w:tc>
          <w:tcPr>
            <w:tcW w:type="dxa" w:w="266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Data Registry ESDM MODI (Minerbaone)</w:t>
            </w:r>
          </w:p>
        </w:tc>
      </w:tr>
      <w:tr>
        <w:tc>
          <w:tcPr>
            <w:tcW w:type="dxa" w:w="45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3</w:t>
            </w:r>
          </w:p>
        </w:tc>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Kapasitas Terpasang PLTU Captive</w:t>
            </w:r>
          </w:p>
        </w:tc>
        <w:tc>
          <w:tcPr>
            <w:tcW w:type="dxa" w:w="181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Infrastruktur Energi Khusus</w:t>
            </w:r>
          </w:p>
        </w:tc>
        <w:tc>
          <w:tcPr>
            <w:tcW w:type="dxa" w:w="1020"/>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Megawatt (MW)</w:t>
            </w:r>
          </w:p>
        </w:tc>
        <w:tc>
          <w:tcPr>
            <w:tcW w:type="dxa" w:w="113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2014–2024</w:t>
            </w:r>
          </w:p>
        </w:tc>
        <w:tc>
          <w:tcPr>
            <w:tcW w:type="dxa" w:w="266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Global Energy Monitor (GEM Tracker)</w:t>
            </w:r>
          </w:p>
        </w:tc>
      </w:tr>
      <w:tr>
        <w:tc>
          <w:tcPr>
            <w:tcW w:type="dxa" w:w="45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4</w:t>
            </w:r>
          </w:p>
        </w:tc>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Fasilitas Smelter Nikel</w:t>
            </w:r>
          </w:p>
        </w:tc>
        <w:tc>
          <w:tcPr>
            <w:tcW w:type="dxa" w:w="181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Fasilitas Industri Hilir</w:t>
            </w:r>
          </w:p>
        </w:tc>
        <w:tc>
          <w:tcPr>
            <w:tcW w:type="dxa" w:w="1020"/>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Unit Fasilitas</w:t>
            </w:r>
          </w:p>
        </w:tc>
        <w:tc>
          <w:tcPr>
            <w:tcW w:type="dxa" w:w="113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2014–2024</w:t>
            </w:r>
          </w:p>
        </w:tc>
        <w:tc>
          <w:tcPr>
            <w:tcW w:type="dxa" w:w="266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Database Smelter CGS &amp; ESDM MODI</w:t>
            </w:r>
          </w:p>
        </w:tc>
      </w:tr>
      <w:tr>
        <w:tc>
          <w:tcPr>
            <w:tcW w:type="dxa" w:w="45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5</w:t>
            </w:r>
          </w:p>
        </w:tc>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Realisasi Investasi PMDN &amp; Nikel</w:t>
            </w:r>
          </w:p>
        </w:tc>
        <w:tc>
          <w:tcPr>
            <w:tcW w:type="dxa" w:w="181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Arus Modal Domestik</w:t>
            </w:r>
          </w:p>
        </w:tc>
        <w:tc>
          <w:tcPr>
            <w:tcW w:type="dxa" w:w="1020"/>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Triliun Rp</w:t>
            </w:r>
          </w:p>
        </w:tc>
        <w:tc>
          <w:tcPr>
            <w:tcW w:type="dxa" w:w="113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2016–2024</w:t>
            </w:r>
          </w:p>
        </w:tc>
        <w:tc>
          <w:tcPr>
            <w:tcW w:type="dxa" w:w="266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API BPS &amp; Kementerian Investasi / BKPM</w:t>
            </w:r>
          </w:p>
        </w:tc>
      </w:tr>
      <w:tr>
        <w:tc>
          <w:tcPr>
            <w:tcW w:type="dxa" w:w="45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6</w:t>
            </w:r>
          </w:p>
        </w:tc>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PDRB Provinsi (Ekstraktif vs Akar Rumput)</w:t>
            </w:r>
          </w:p>
        </w:tc>
        <w:tc>
          <w:tcPr>
            <w:tcW w:type="dxa" w:w="181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Struktur Ekonomi Makro</w:t>
            </w:r>
          </w:p>
        </w:tc>
        <w:tc>
          <w:tcPr>
            <w:tcW w:type="dxa" w:w="1020"/>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Triliun Rp</w:t>
            </w:r>
          </w:p>
        </w:tc>
        <w:tc>
          <w:tcPr>
            <w:tcW w:type="dxa" w:w="113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2016–2024</w:t>
            </w:r>
          </w:p>
        </w:tc>
        <w:tc>
          <w:tcPr>
            <w:tcW w:type="dxa" w:w="266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API BPS (Subject 52: PDRB Lapangan Usaha)</w:t>
            </w:r>
          </w:p>
        </w:tc>
      </w:tr>
      <w:tr>
        <w:tc>
          <w:tcPr>
            <w:tcW w:type="dxa" w:w="45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7</w:t>
            </w:r>
          </w:p>
        </w:tc>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PDRB Kabupaten Sentra Tambang</w:t>
            </w:r>
          </w:p>
        </w:tc>
        <w:tc>
          <w:tcPr>
            <w:tcW w:type="dxa" w:w="181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Struktur Ekonomi Daerah</w:t>
            </w:r>
          </w:p>
        </w:tc>
        <w:tc>
          <w:tcPr>
            <w:tcW w:type="dxa" w:w="1020"/>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Triliun Rp</w:t>
            </w:r>
          </w:p>
        </w:tc>
        <w:tc>
          <w:tcPr>
            <w:tcW w:type="dxa" w:w="113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2016–2024</w:t>
            </w:r>
          </w:p>
        </w:tc>
        <w:tc>
          <w:tcPr>
            <w:tcW w:type="dxa" w:w="266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API BPS (Subject 52 Kabupaten/Kota)</w:t>
            </w:r>
          </w:p>
        </w:tc>
      </w:tr>
      <w:tr>
        <w:tc>
          <w:tcPr>
            <w:tcW w:type="dxa" w:w="45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8</w:t>
            </w:r>
          </w:p>
        </w:tc>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Pendapatan Asli Daerah (PAD) &amp; Pajak</w:t>
            </w:r>
          </w:p>
        </w:tc>
        <w:tc>
          <w:tcPr>
            <w:tcW w:type="dxa" w:w="181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Kapasitas Fiskal Daerah</w:t>
            </w:r>
          </w:p>
        </w:tc>
        <w:tc>
          <w:tcPr>
            <w:tcW w:type="dxa" w:w="1020"/>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Triliun Rp</w:t>
            </w:r>
          </w:p>
        </w:tc>
        <w:tc>
          <w:tcPr>
            <w:tcW w:type="dxa" w:w="113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2016–2024</w:t>
            </w:r>
          </w:p>
        </w:tc>
        <w:tc>
          <w:tcPr>
            <w:tcW w:type="dxa" w:w="266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API BPS (Statistik Keuangan Daerah)</w:t>
            </w:r>
          </w:p>
        </w:tc>
      </w:tr>
      <w:tr>
        <w:tc>
          <w:tcPr>
            <w:tcW w:type="dxa" w:w="45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9</w:t>
            </w:r>
          </w:p>
        </w:tc>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Luas Total Deforestasi Alam &amp; Komoditas</w:t>
            </w:r>
          </w:p>
        </w:tc>
        <w:tc>
          <w:tcPr>
            <w:tcW w:type="dxa" w:w="181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Dampak Ekologis Lanskap</w:t>
            </w:r>
          </w:p>
        </w:tc>
        <w:tc>
          <w:tcPr>
            <w:tcW w:type="dxa" w:w="1020"/>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Hektar (Ha)</w:t>
            </w:r>
          </w:p>
        </w:tc>
        <w:tc>
          <w:tcPr>
            <w:tcW w:type="dxa" w:w="1134"/>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2014–2023</w:t>
            </w:r>
          </w:p>
        </w:tc>
        <w:tc>
          <w:tcPr>
            <w:tcW w:type="dxa" w:w="2665"/>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Global Forest Watch (GFW API / Hansen UMD)</w:t>
            </w:r>
          </w:p>
        </w:tc>
      </w:tr>
      <w:tr>
        <w:tc>
          <w:tcPr>
            <w:tcW w:type="dxa" w:w="45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10</w:t>
            </w:r>
          </w:p>
        </w:tc>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Simpul Pelabuhan &amp; Terminal Logistik Ekspor</w:t>
            </w:r>
          </w:p>
        </w:tc>
        <w:tc>
          <w:tcPr>
            <w:tcW w:type="dxa" w:w="181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Infrastruktur Rantai Pasok</w:t>
            </w:r>
          </w:p>
        </w:tc>
        <w:tc>
          <w:tcPr>
            <w:tcW w:type="dxa" w:w="1020"/>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Titik &amp; DWT</w:t>
            </w:r>
          </w:p>
        </w:tc>
        <w:tc>
          <w:tcPr>
            <w:tcW w:type="dxa" w:w="1134"/>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2014–2024</w:t>
            </w:r>
          </w:p>
        </w:tc>
        <w:tc>
          <w:tcPr>
            <w:tcW w:type="dxa" w:w="2665"/>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KNKT, Regulasi Perpres PSN &amp; Korporasi</w:t>
            </w:r>
          </w:p>
        </w:tc>
      </w:tr>
    </w:tbl>
    <w:p>
      <w:pPr>
        <w:spacing w:before="0" w:after="60"/>
      </w:pPr>
    </w:p>
    <w:p>
      <w:pPr>
        <w:keepNext/>
        <w:spacing w:before="220" w:after="60"/>
        <w:pBdr>
          <w:bottom w:val="single" w:sz="6" w:space="2" w:color="2E7D32"/>
        </w:pBdr>
      </w:pPr>
      <w:r>
        <w:rPr>
          <w:b/>
          <w:i w:val="0"/>
          <w:color w:val="1B5E20"/>
          <w:sz w:val="20"/>
        </w:rPr>
        <w:t>D.  KERANGKA ANALISIS &amp; FORMULASI MATEMATIS</w:t>
      </w:r>
    </w:p>
    <w:p>
      <w:pPr>
        <w:keepNext/>
        <w:spacing w:before="140" w:after="40"/>
      </w:pPr>
      <w:r>
        <w:rPr>
          <w:b/>
          <w:i w:val="0"/>
          <w:color w:val="2E7D32"/>
          <w:sz w:val="18"/>
        </w:rPr>
        <w:t>1.1 Konteks Makro: Breakdown PDRB per Komoditas</w:t>
      </w:r>
    </w:p>
    <w:p>
      <w:pPr>
        <w:spacing w:after="80" w:line="276" w:lineRule="auto"/>
        <w:jc w:val="both"/>
      </w:pPr>
      <w:r>
        <w:rPr>
          <w:b w:val="0"/>
          <w:i w:val="0"/>
          <w:color w:val="222222"/>
          <w:sz w:val="17"/>
        </w:rPr>
        <w:t xml:space="preserve">Tujuh belas sektor KBLI 2020 direklasifikasi menjadi tiga klaster makro berdasarkan relasi hukum hilirisasi nikel (UU No. 3/2020 jo. PP No. 96/2021): </w:t>
      </w:r>
      <w:r>
        <w:rPr>
          <w:b/>
          <w:i w:val="0"/>
          <w:color w:val="222222"/>
          <w:sz w:val="17"/>
        </w:rPr>
        <w:t>Klaster Ekstraktif</w:t>
      </w:r>
      <w:r>
        <w:rPr>
          <w:b w:val="0"/>
          <w:i w:val="0"/>
          <w:color w:val="222222"/>
          <w:sz w:val="17"/>
        </w:rPr>
        <w:t xml:space="preserve"> (Pertambangan B, Industri Logam C24, dan Pengadaan Listrik D), </w:t>
      </w:r>
      <w:r>
        <w:rPr>
          <w:b/>
          <w:i w:val="0"/>
          <w:color w:val="222222"/>
          <w:sz w:val="17"/>
        </w:rPr>
        <w:t>Klaster Akar Rumput</w:t>
      </w:r>
      <w:r>
        <w:rPr>
          <w:b w:val="0"/>
          <w:i w:val="0"/>
          <w:color w:val="222222"/>
          <w:sz w:val="17"/>
        </w:rPr>
        <w:t xml:space="preserve"> (Pertanian, Kehutanan &amp; Perikanan A), serta </w:t>
      </w:r>
      <w:r>
        <w:rPr>
          <w:b/>
          <w:i w:val="0"/>
          <w:color w:val="222222"/>
          <w:sz w:val="17"/>
        </w:rPr>
        <w:t>Klaster Jasa &amp; Manufaktur Lain</w:t>
      </w:r>
      <w:r>
        <w:rPr>
          <w:b w:val="0"/>
          <w:i w:val="0"/>
          <w:color w:val="222222"/>
          <w:sz w:val="17"/>
        </w:rPr>
        <w:t>. Konfigurasi reklasifikasi ini dirancang untuk mengisolasi porsi kontribusi murni sektor industri hilirisasi terhadap total struktur perekonomian daerah:</w:t>
      </w:r>
    </w:p>
    <w:p>
      <w:pPr>
        <w:spacing w:before="40" w:after="80"/>
        <w:ind w:left="160"/>
        <w:shd w:val="clear" w:color="auto" w:fill="EDF7EE"/>
      </w:pPr>
      <w:r>
        <w:rPr>
          <w:rFonts w:ascii="Courier New" w:hAnsi="Courier New"/>
          <w:b w:val="0"/>
          <w:i w:val="0"/>
          <w:color w:val="2E7D32"/>
          <w:sz w:val="16"/>
        </w:rPr>
        <w:t>Pangsa Sektor Ekstraktif (%) = [ PDRB Ekstraktif (B + C24 + D) / Total PDRB ] × 100</w:t>
      </w:r>
    </w:p>
    <w:p>
      <w:pPr>
        <w:spacing w:after="80" w:line="276" w:lineRule="auto"/>
        <w:jc w:val="both"/>
      </w:pPr>
      <w:r>
        <w:rPr>
          <w:b w:val="0"/>
          <w:i w:val="0"/>
          <w:color w:val="222222"/>
          <w:sz w:val="17"/>
        </w:rPr>
        <w:t>Untuk membongkar ilusi agregat provinsi, PDRB didekomposisi ke seluruh kabupaten/kota sentra nikel guna mengukur derajat polarisasi ekonomi industri ekstraktif terhadap basis mata pencaharian pertanian-perikanan lokal:</w:t>
      </w:r>
    </w:p>
    <w:p>
      <w:pPr>
        <w:spacing w:before="40" w:after="80"/>
        <w:ind w:left="160"/>
        <w:shd w:val="clear" w:color="auto" w:fill="EDF7EE"/>
      </w:pPr>
      <w:r>
        <w:rPr>
          <w:rFonts w:ascii="Courier New" w:hAnsi="Courier New"/>
          <w:b w:val="0"/>
          <w:i w:val="0"/>
          <w:color w:val="2E7D32"/>
          <w:sz w:val="16"/>
        </w:rPr>
        <w:t>Rasio Kesenjangan Spasial = PDRB Sektor Ekstraktif (Kabupaten) / PDRB Pertanian Rakyat (Kabupaten)</w:t>
      </w:r>
    </w:p>
    <w:p>
      <w:pPr>
        <w:keepNext/>
        <w:spacing w:before="140" w:after="40"/>
      </w:pPr>
      <w:r>
        <w:rPr>
          <w:b/>
          <w:i w:val="0"/>
          <w:color w:val="2E7D32"/>
          <w:sz w:val="18"/>
        </w:rPr>
        <w:t>1.2 Konsentrasi Kawasan Industri &amp; PLTU Captive</w:t>
      </w:r>
    </w:p>
    <w:p>
      <w:pPr>
        <w:spacing w:after="80" w:line="276" w:lineRule="auto"/>
        <w:jc w:val="both"/>
      </w:pPr>
      <w:r>
        <w:rPr>
          <w:b w:val="0"/>
          <w:i w:val="0"/>
          <w:color w:val="222222"/>
          <w:sz w:val="17"/>
        </w:rPr>
        <w:t>Derajat konsentrasi fasilitas pengolahan nikel dan kapasitas pembangkit listrik captive batubara diukur menggunakan rasio aglomerasi spasial untuk memetakan pemusatan beban energi dan lingkungan antar-wilayah:</w:t>
      </w:r>
    </w:p>
    <w:p>
      <w:pPr>
        <w:spacing w:before="40" w:after="80"/>
        <w:ind w:left="160"/>
        <w:shd w:val="clear" w:color="auto" w:fill="EDF7EE"/>
      </w:pPr>
      <w:r>
        <w:rPr>
          <w:rFonts w:ascii="Courier New" w:hAnsi="Courier New"/>
          <w:b w:val="0"/>
          <w:i w:val="0"/>
          <w:color w:val="2E7D32"/>
          <w:sz w:val="16"/>
        </w:rPr>
        <w:t>Porsi Konsentrasi Sentra (%) = [ Kapasitas Sentra Industri (MW) / Total Kapasitas Se-Sulawesi (MW) ] × 100</w:t>
      </w:r>
    </w:p>
    <w:p>
      <w:pPr>
        <w:keepNext/>
        <w:spacing w:before="140" w:after="40"/>
      </w:pPr>
      <w:r>
        <w:rPr>
          <w:b/>
          <w:i w:val="0"/>
          <w:color w:val="2E7D32"/>
          <w:sz w:val="18"/>
        </w:rPr>
        <w:t>1.3 Tren Pertumbuhan Izin Tambang Baru &amp; Uji Signifikansi Statistik</w:t>
      </w:r>
    </w:p>
    <w:p>
      <w:pPr>
        <w:spacing w:after="80" w:line="276" w:lineRule="auto"/>
        <w:jc w:val="both"/>
      </w:pPr>
      <w:r>
        <w:rPr>
          <w:b w:val="0"/>
          <w:i w:val="0"/>
          <w:color w:val="222222"/>
          <w:sz w:val="17"/>
        </w:rPr>
        <w:t>Akumulasi izin konsesi tambang baru dievaluasi laju pertumbuhannya dan dinormalisasi ke dalam unit waktu harian untuk mengukur kecepatan konversi bentang lahan alami menjadi kawasan pertambangan:</w:t>
      </w:r>
    </w:p>
    <w:p>
      <w:pPr>
        <w:spacing w:before="40" w:after="80"/>
        <w:ind w:left="160"/>
        <w:shd w:val="clear" w:color="auto" w:fill="EDF7EE"/>
      </w:pPr>
      <w:r>
        <w:rPr>
          <w:rFonts w:ascii="Courier New" w:hAnsi="Courier New"/>
          <w:b w:val="0"/>
          <w:i w:val="0"/>
          <w:color w:val="2E7D32"/>
          <w:sz w:val="16"/>
        </w:rPr>
        <w:t>Laju Alih Ruang Harian (Ha/Hari) = Total Luas Konsesi Tambang Baru (Ha) / Jumlah Hari Observasi (t)</w:t>
      </w:r>
    </w:p>
    <w:p>
      <w:pPr>
        <w:spacing w:after="80" w:line="276" w:lineRule="auto"/>
        <w:jc w:val="both"/>
      </w:pPr>
      <w:r>
        <w:rPr>
          <w:b w:val="0"/>
          <w:i w:val="0"/>
          <w:color w:val="222222"/>
          <w:sz w:val="17"/>
        </w:rPr>
        <w:t xml:space="preserve">Pengujian inferensial menggunakan desain matriks kontinjensi 2×2 berbasis </w:t>
      </w:r>
      <w:r>
        <w:rPr>
          <w:b/>
          <w:i w:val="0"/>
          <w:color w:val="222222"/>
          <w:sz w:val="17"/>
        </w:rPr>
        <w:t>ambang median panel provinsi-tahun (N = 60)</w:t>
      </w:r>
      <w:r>
        <w:rPr>
          <w:b w:val="0"/>
          <w:i w:val="0"/>
          <w:color w:val="222222"/>
          <w:sz w:val="17"/>
        </w:rPr>
        <w:t>. Uji Chi-Square independensi (α = 5%, df = 1) diterapkan untuk menguji signifikansi hubungan bivariat, sedangkan rasio peluang (Odds Ratio) mengukur magnitudo kelipatan risiko dampak ekologis:</w:t>
      </w:r>
    </w:p>
    <w:p>
      <w:pPr>
        <w:spacing w:before="40" w:after="80"/>
        <w:ind w:left="160"/>
        <w:shd w:val="clear" w:color="auto" w:fill="EDF7EE"/>
      </w:pPr>
      <w:r>
        <w:rPr>
          <w:rFonts w:ascii="Courier New" w:hAnsi="Courier New"/>
          <w:b w:val="0"/>
          <w:i w:val="0"/>
          <w:color w:val="2E7D32"/>
          <w:sz w:val="16"/>
        </w:rPr>
        <w:t>χ² = Σ [ (O_ij - E_ij)² / E_ij ]   |   Odds Ratio (OR) = (a × d) / (b × c)</w:t>
      </w:r>
    </w:p>
    <w:p>
      <w:pPr>
        <w:spacing w:before="100" w:after="40"/>
      </w:pPr>
      <w:r>
        <w:rPr>
          <w:b/>
          <w:i/>
          <w:color w:val="2E7D32"/>
          <w:sz w:val="17"/>
        </w:rPr>
        <w:t>Tabel 1.5b: Konfigurasi Variabel Uji Chi-Square (Sub-bab 1.3)</w:t>
      </w:r>
    </w:p>
    <w:tbl>
      <w:tblPr>
        <w:tblW w:type="auto" w:w="0"/>
        <w:jc w:val="center"/>
        <w:tblLayout w:type="fixed"/>
        <w:tblLook w:firstColumn="1" w:firstRow="1" w:lastColumn="0" w:lastRow="0" w:noHBand="0" w:noVBand="1" w:val="04A0"/>
      </w:tblPr>
      <w:tblGrid>
        <w:gridCol w:w="4819"/>
        <w:gridCol w:w="4819"/>
      </w:tblGrid>
      <w:tr>
        <w:tc>
          <w:tcPr>
            <w:tcW w:type="dxa" w:w="2551"/>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Komponen Uji</w:t>
            </w:r>
          </w:p>
        </w:tc>
        <w:tc>
          <w:tcPr>
            <w:tcW w:type="dxa" w:w="7087"/>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Definisi Variabel (Sub-bab 1.3)</w:t>
            </w:r>
          </w:p>
        </w:tc>
      </w:tr>
      <w:tr>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Variabel Independen (X)</w:t>
            </w:r>
          </w:p>
        </w:tc>
        <w:tc>
          <w:tcPr>
            <w:tcW w:type="dxa" w:w="7087"/>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Jumlah Izin Baru (IUP) / Luas Konsesi Baru (Ha)</w:t>
            </w:r>
          </w:p>
        </w:tc>
      </w:tr>
      <w:tr>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Variabel Dependen (Y)</w:t>
            </w:r>
          </w:p>
        </w:tc>
        <w:tc>
          <w:tcPr>
            <w:tcW w:type="dxa" w:w="7087"/>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Deforestasi Komoditas (Ha) / Total Deforestasi Alam (Ha)</w:t>
            </w:r>
          </w:p>
        </w:tc>
      </w:tr>
      <w:tr>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Hipotesis Nol (H0)</w:t>
            </w:r>
          </w:p>
        </w:tc>
        <w:tc>
          <w:tcPr>
            <w:tcW w:type="dxa" w:w="7087"/>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Tingkat penerbitan izin/luas konsesi tidak berhubungan dengan laju deforestasi.</w:t>
            </w:r>
          </w:p>
        </w:tc>
      </w:tr>
      <w:tr>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Hipotesis Alternatif (H1)</w:t>
            </w:r>
          </w:p>
        </w:tc>
        <w:tc>
          <w:tcPr>
            <w:tcW w:type="dxa" w:w="7087"/>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Ada hubungan positif antara tingginya penerbitan izin dengan tingginya laju deforestasi.</w:t>
            </w:r>
          </w:p>
        </w:tc>
      </w:tr>
      <w:tr>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Decision Rule (Alpha 5%)</w:t>
            </w:r>
          </w:p>
        </w:tc>
        <w:tc>
          <w:tcPr>
            <w:tcW w:type="dxa" w:w="7087"/>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Jika P-Value &lt; 0.05, maka Tolak H0 (terbukti signifikan bahwa ekspansi perizinan mendorong deforestasi).</w:t>
            </w:r>
          </w:p>
        </w:tc>
      </w:tr>
      <w:tr>
        <w:tc>
          <w:tcPr>
            <w:tcW w:type="dxa" w:w="2551"/>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Threshold Kategori</w:t>
            </w:r>
          </w:p>
        </w:tc>
        <w:tc>
          <w:tcPr>
            <w:tcW w:type="dxa" w:w="7087"/>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Nilai Median Data Panel (N=60): X &gt;= 2.0 izin; Y &gt;= 10,961.8 Ha.</w:t>
            </w:r>
          </w:p>
        </w:tc>
      </w:tr>
      <w:tr>
        <w:tc>
          <w:tcPr>
            <w:tcW w:type="dxa" w:w="2551"/>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Orientasi Odds Ratio</w:t>
            </w:r>
          </w:p>
        </w:tc>
        <w:tc>
          <w:tcPr>
            <w:tcW w:type="dxa" w:w="7087"/>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OR = ( a × d ) / ( b × c ) dengan a = Izin Tinggi &amp; Deforestasi Tinggi; mengukur risiko deforestasi tinggi pada kelompok penerbitan izin tinggi.</w:t>
            </w:r>
          </w:p>
        </w:tc>
      </w:tr>
    </w:tbl>
    <w:p>
      <w:pPr>
        <w:spacing w:before="0" w:after="60"/>
      </w:pPr>
    </w:p>
    <w:p>
      <w:pPr>
        <w:keepNext/>
        <w:spacing w:before="140" w:after="40"/>
      </w:pPr>
      <w:r>
        <w:rPr>
          <w:b/>
          <w:i w:val="0"/>
          <w:color w:val="2E7D32"/>
          <w:sz w:val="18"/>
        </w:rPr>
        <w:t>1.4 Analisis Realisasi Investasi PMDN dan Dampak Terhadap Tutupan Hutan</w:t>
      </w:r>
    </w:p>
    <w:p>
      <w:pPr>
        <w:spacing w:after="80" w:line="276" w:lineRule="auto"/>
        <w:jc w:val="both"/>
      </w:pPr>
      <w:r>
        <w:rPr>
          <w:b w:val="0"/>
          <w:i w:val="0"/>
          <w:color w:val="222222"/>
          <w:sz w:val="17"/>
        </w:rPr>
        <w:t>Analisis arus modal investasi PMDN mengevaluasi elastisitas suntikan modal terhadap laju alih fungsi hutan dan emisi komoditas. Formulasi pengujian inferensial Chi-Square dan Odds Ratio pada Sub-bab 1.4 mengadopsi protokol pengujian kontinjensi 2×2 yang sama, dengan variabel independen realisasi investasi modal domestik (X &gt; Rp3.146,4 Miliar) dan evaluasi efek jeda waktu (time-lag) ekspansi fisik di lapangan.</w:t>
      </w:r>
    </w:p>
    <w:p>
      <w:pPr>
        <w:keepNext/>
        <w:spacing w:before="140" w:after="40"/>
      </w:pPr>
      <w:r>
        <w:rPr>
          <w:b/>
          <w:i w:val="0"/>
          <w:color w:val="2E7D32"/>
          <w:sz w:val="18"/>
        </w:rPr>
        <w:t>1.5 Pelabuhan Ekspor: Ke Mana Nikel Sulawesi Dikirim?</w:t>
      </w:r>
    </w:p>
    <w:p>
      <w:pPr>
        <w:spacing w:after="80" w:line="276" w:lineRule="auto"/>
        <w:jc w:val="both"/>
      </w:pPr>
      <w:r>
        <w:rPr>
          <w:b w:val="0"/>
          <w:i w:val="0"/>
          <w:color w:val="222222"/>
          <w:sz w:val="17"/>
        </w:rPr>
        <w:t>Verifikasi titik pelabuhan dan terminal khusus ekspor nikel dilakukan melalui protokol triangulasi informasi publik (OSINT): Laporan Investigasi Keselamatan Transportasi Laut KNKT (bobot muatan tongkang hingga 52.378 DWT), lampiran regulasi Proyek Strategis Nasional (Perpres No. 109/2020), laporan keberlanjutan emiten terbuka (PT Vale Indonesia Tbk dan PT ANTAM Tbk), serta publikasi riset audit independen mengenai operasional pelabuhan khusus.</w:t>
      </w:r>
    </w:p>
    <w:p>
      <w:pPr>
        <w:keepNext/>
        <w:spacing w:before="140" w:after="40"/>
      </w:pPr>
      <w:r>
        <w:rPr>
          <w:b/>
          <w:i w:val="0"/>
          <w:color w:val="2E7D32"/>
          <w:sz w:val="18"/>
        </w:rPr>
        <w:t>1.6 Peta Jalur Distribusi Logistik Nikel Sulawesi</w:t>
      </w:r>
    </w:p>
    <w:p>
      <w:pPr>
        <w:spacing w:after="80" w:line="276" w:lineRule="auto"/>
        <w:jc w:val="both"/>
      </w:pPr>
      <w:r>
        <w:rPr>
          <w:b w:val="0"/>
          <w:i w:val="0"/>
          <w:color w:val="222222"/>
          <w:sz w:val="17"/>
        </w:rPr>
        <w:t>Pemodelan spasial rute pelayaran internasional pengangkutan produk olahan nikel dari simpul pelabuhan Sulawesi menuju negara tujuan utama (Tiongkok dan Jepang) dimodelkan menggunakan persamaan parametrik kurva Bézier kuadratik di atas koordinat bola bumi guna memetakan jalur lintas laut aktual:</w:t>
      </w:r>
    </w:p>
    <w:p>
      <w:pPr>
        <w:spacing w:before="40" w:after="80"/>
        <w:ind w:left="160"/>
        <w:shd w:val="clear" w:color="auto" w:fill="EDF7EE"/>
      </w:pPr>
      <w:r>
        <w:rPr>
          <w:rFonts w:ascii="Courier New" w:hAnsi="Courier New"/>
          <w:b w:val="0"/>
          <w:i w:val="0"/>
          <w:color w:val="2E7D32"/>
          <w:sz w:val="16"/>
        </w:rPr>
        <w:t>Kurva(t) = (1 - t)² × Titik_Asal + 2(1 - t)t × Titik_Kontrol + t² × Titik_Tujuan</w:t>
      </w:r>
    </w:p>
    <w:p>
      <w:pPr>
        <w:keepNext/>
        <w:spacing w:before="220" w:after="60"/>
        <w:pBdr>
          <w:bottom w:val="single" w:sz="6" w:space="2" w:color="2E7D32"/>
        </w:pBdr>
      </w:pPr>
      <w:r>
        <w:rPr>
          <w:b/>
          <w:i w:val="0"/>
          <w:color w:val="1B5E20"/>
          <w:sz w:val="20"/>
        </w:rPr>
        <w:t>E.  KORESPONDENSI METODOLOGI TERHADAP SUB-BAB LAPORAN BAB 1</w:t>
      </w:r>
    </w:p>
    <w:p>
      <w:pPr>
        <w:spacing w:after="80" w:line="276" w:lineRule="auto"/>
        <w:jc w:val="both"/>
      </w:pPr>
      <w:r>
        <w:rPr>
          <w:b w:val="0"/>
          <w:i w:val="0"/>
          <w:color w:val="222222"/>
          <w:sz w:val="17"/>
        </w:rPr>
        <w:t>Setiap sub-bab analitis pada Bab 1 ditopang oleh metode kuantitatif yang presisi dan menghasilkan sintesis bukti empiris terstandarisasi sebagaimana dirangkum pada matriks berikut:</w:t>
      </w:r>
    </w:p>
    <w:tbl>
      <w:tblPr>
        <w:tblW w:type="auto" w:w="0"/>
        <w:jc w:val="center"/>
        <w:tblLayout w:type="fixed"/>
        <w:tblLook w:firstColumn="1" w:firstRow="1" w:lastColumn="0" w:lastRow="0" w:noHBand="0" w:noVBand="1" w:val="04A0"/>
      </w:tblPr>
      <w:tblGrid>
        <w:gridCol w:w="3213"/>
        <w:gridCol w:w="3213"/>
        <w:gridCol w:w="3213"/>
      </w:tblGrid>
      <w:tr>
        <w:tc>
          <w:tcPr>
            <w:tcW w:type="dxa" w:w="1417"/>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Sub-bab</w:t>
            </w:r>
          </w:p>
        </w:tc>
        <w:tc>
          <w:tcPr>
            <w:tcW w:type="dxa" w:w="3118"/>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Fokus Kajian Empiris</w:t>
            </w:r>
          </w:p>
        </w:tc>
        <w:tc>
          <w:tcPr>
            <w:tcW w:type="dxa" w:w="5102"/>
            <w:shd w:val="clear" w:color="auto" w:fill="2E7D32"/>
            <w:tcMar>
              <w:top w:w="50" w:type="dxa"/>
              <w:bottom w:w="5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b/>
                <w:i w:val="0"/>
                <w:color w:val="FFFFFF"/>
                <w:sz w:val="15"/>
              </w:rPr>
              <w:t>Metode Analitis Utama</w:t>
            </w:r>
          </w:p>
        </w:tc>
      </w:tr>
      <w:tr>
        <w:tc>
          <w:tcPr>
            <w:tcW w:type="dxa" w:w="1417"/>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Sub-bab 1.1</w:t>
            </w:r>
          </w:p>
        </w:tc>
        <w:tc>
          <w:tcPr>
            <w:tcW w:type="dxa" w:w="3118"/>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Struktur Makro PDRB Provinsi &amp; Kabupaten</w:t>
            </w:r>
          </w:p>
        </w:tc>
        <w:tc>
          <w:tcPr>
            <w:tcW w:type="dxa" w:w="5102"/>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Reklasifikasi Hukum KBLI, Pangsa Sektoral, Rasio Kesenjangan Spasial</w:t>
            </w:r>
          </w:p>
        </w:tc>
      </w:tr>
      <w:tr>
        <w:tc>
          <w:tcPr>
            <w:tcW w:type="dxa" w:w="1417"/>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Sub-bab 1.2</w:t>
            </w:r>
          </w:p>
        </w:tc>
        <w:tc>
          <w:tcPr>
            <w:tcW w:type="dxa" w:w="3118"/>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Kawasan Industri &amp; PLTU Captive</w:t>
            </w:r>
          </w:p>
        </w:tc>
        <w:tc>
          <w:tcPr>
            <w:tcW w:type="dxa" w:w="5102"/>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Analisis Aglomerasi Spasial, Rasio Kapasitas Off-grid</w:t>
            </w:r>
          </w:p>
        </w:tc>
      </w:tr>
      <w:tr>
        <w:tc>
          <w:tcPr>
            <w:tcW w:type="dxa" w:w="1417"/>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Sub-bab 1.3</w:t>
            </w:r>
          </w:p>
        </w:tc>
        <w:tc>
          <w:tcPr>
            <w:tcW w:type="dxa" w:w="3118"/>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Tren Perizinan Konsesi Tambang</w:t>
            </w:r>
          </w:p>
        </w:tc>
        <w:tc>
          <w:tcPr>
            <w:tcW w:type="dxa" w:w="5102"/>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Deret Waktu Tahunan, Laju Alih Ruang Ha/Hari, Uji Chi-Square (χ²)</w:t>
            </w:r>
          </w:p>
        </w:tc>
      </w:tr>
      <w:tr>
        <w:tc>
          <w:tcPr>
            <w:tcW w:type="dxa" w:w="1417"/>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Sub-bab 1.4</w:t>
            </w:r>
          </w:p>
        </w:tc>
        <w:tc>
          <w:tcPr>
            <w:tcW w:type="dxa" w:w="3118"/>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Arus Investasi PMDN &amp; Deforestasi</w:t>
            </w:r>
          </w:p>
        </w:tc>
        <w:tc>
          <w:tcPr>
            <w:tcW w:type="dxa" w:w="5102"/>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Uji Non-parametrik Chi-Square (χ²), Odds Ratio (OR), Efek Time-lag</w:t>
            </w:r>
          </w:p>
        </w:tc>
      </w:tr>
      <w:tr>
        <w:tc>
          <w:tcPr>
            <w:tcW w:type="dxa" w:w="1417"/>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Sub-bab 1.5</w:t>
            </w:r>
          </w:p>
        </w:tc>
        <w:tc>
          <w:tcPr>
            <w:tcW w:type="dxa" w:w="3118"/>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Simpul Pelabuhan Ekspor &amp; Terminal Khusus</w:t>
            </w:r>
          </w:p>
        </w:tc>
        <w:tc>
          <w:tcPr>
            <w:tcW w:type="dxa" w:w="5102"/>
            <w:vAlign w:val="center"/>
            <w:shd w:val="clear" w:color="auto" w:fill="F9FBF9"/>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Triangulasi Validasi Silang (OSINT: KNKT, Regulasi PSN, Laporan Emiten)</w:t>
            </w:r>
          </w:p>
        </w:tc>
      </w:tr>
      <w:tr>
        <w:tc>
          <w:tcPr>
            <w:tcW w:type="dxa" w:w="1417"/>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b w:val="0"/>
                <w:i w:val="0"/>
                <w:color w:val="222222"/>
                <w:sz w:val="15"/>
              </w:rPr>
              <w:t>Sub-bab 1.6</w:t>
            </w:r>
          </w:p>
        </w:tc>
        <w:tc>
          <w:tcPr>
            <w:tcW w:type="dxa" w:w="3118"/>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Peta Jalur Distribusi Logistik Maritim</w:t>
            </w:r>
          </w:p>
        </w:tc>
        <w:tc>
          <w:tcPr>
            <w:tcW w:type="dxa" w:w="5102"/>
            <w:vAlign w:val="center"/>
            <w:shd w:val="clear" w:color="auto" w:fill="FFFFFF"/>
            <w:tcMar>
              <w:top w:w="40" w:type="dxa"/>
              <w:bottom w:w="40" w:type="dxa"/>
              <w:left w:w="80" w:type="dxa"/>
              <w:right w:w="8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b w:val="0"/>
                <w:i w:val="0"/>
                <w:color w:val="222222"/>
                <w:sz w:val="15"/>
              </w:rPr>
              <w:t>Pemodelan Spasial Rute Parametrik Kurva Bézier Kuadratik (Scattergeo)</w:t>
            </w:r>
          </w:p>
        </w:tc>
      </w:tr>
    </w:tbl>
    <w:p>
      <w:pPr>
        <w:spacing w:before="0" w:after="60"/>
      </w:pPr>
    </w:p>
    <w:p>
      <w:pPr>
        <w:keepNext/>
        <w:spacing w:before="220" w:after="60"/>
        <w:pBdr>
          <w:bottom w:val="single" w:sz="6" w:space="2" w:color="2E7D32"/>
        </w:pBdr>
      </w:pPr>
      <w:r>
        <w:rPr>
          <w:b/>
          <w:i w:val="0"/>
          <w:color w:val="1B5E20"/>
          <w:sz w:val="20"/>
        </w:rPr>
        <w:t>F.  BAGAN ALUR KERANGKA KERJA RISET (RESEARCH WORKFLOW)</w:t>
      </w:r>
    </w:p>
    <w:p>
      <w:pPr>
        <w:spacing w:after="80" w:line="276" w:lineRule="auto"/>
        <w:jc w:val="both"/>
      </w:pPr>
      <w:r>
        <w:rPr>
          <w:b w:val="0"/>
          <w:i w:val="0"/>
          <w:color w:val="222222"/>
          <w:sz w:val="17"/>
        </w:rPr>
        <w:t>Kerangka operasional metodologi Bab 1 berjalan secara terpadu melalui empat fase berurutan sebagaimana divisualisasikan pada bagan alur kerja riset berikut:</w:t>
      </w:r>
    </w:p>
    <w:p>
      <w:pPr>
        <w:spacing w:before="100" w:after="40"/>
      </w:pPr>
      <w:r>
        <w:rPr>
          <w:b/>
          <w:i/>
          <w:color w:val="2E7D32"/>
          <w:sz w:val="17"/>
        </w:rPr>
        <w:t>Bagan Alur 1.1: Alur Logika Kerangka Kerja Riset Bab 1 (Research Workflow)</w:t>
      </w:r>
    </w:p>
    <w:p>
      <w:pPr>
        <w:spacing w:before="60" w:after="80"/>
        <w:jc w:val="center"/>
      </w:pPr>
      <w:r>
        <w:drawing>
          <wp:inline xmlns:a="http://schemas.openxmlformats.org/drawingml/2006/main" xmlns:pic="http://schemas.openxmlformats.org/drawingml/2006/picture">
            <wp:extent cx="5940000" cy="474202"/>
            <wp:docPr id="1" name="Picture 1"/>
            <wp:cNvGraphicFramePr>
              <a:graphicFrameLocks noChangeAspect="1"/>
            </wp:cNvGraphicFramePr>
            <a:graphic>
              <a:graphicData uri="http://schemas.openxmlformats.org/drawingml/2006/picture">
                <pic:pic>
                  <pic:nvPicPr>
                    <pic:cNvPr id="0" name="mermaid_workflow_bab1.png"/>
                    <pic:cNvPicPr/>
                  </pic:nvPicPr>
                  <pic:blipFill>
                    <a:blip r:embed="rId9"/>
                    <a:stretch>
                      <a:fillRect/>
                    </a:stretch>
                  </pic:blipFill>
                  <pic:spPr>
                    <a:xfrm>
                      <a:off x="0" y="0"/>
                      <a:ext cx="5940000" cy="474202"/>
                    </a:xfrm>
                    <a:prstGeom prst="rect"/>
                  </pic:spPr>
                </pic:pic>
              </a:graphicData>
            </a:graphic>
          </wp:inline>
        </w:drawing>
      </w:r>
    </w:p>
    <w:p>
      <w:pPr>
        <w:spacing w:before="80" w:after="80"/>
        <w:pBdr>
          <w:top w:val="single" w:sz="8" w:space="3" w:color="1B5E20"/>
          <w:left w:val="single" w:sz="8" w:space="3" w:color="1B5E20"/>
          <w:bottom w:val="single" w:sz="8" w:space="3" w:color="1B5E20"/>
          <w:right w:val="single" w:sz="8" w:space="3" w:color="1B5E20"/>
        </w:pBdr>
        <w:shd w:val="clear" w:color="auto" w:fill="F1F8E9"/>
      </w:pPr>
      <w:r>
        <w:rPr>
          <w:b/>
          <w:i w:val="0"/>
          <w:color w:val="1B5E20"/>
          <w:sz w:val="17"/>
        </w:rPr>
        <w:t>KERANGKA KELUARAN METODOLOGIS BAB 1:</w:t>
        <w:br/>
      </w:r>
      <w:r>
        <w:rPr>
          <w:b w:val="0"/>
          <w:i w:val="0"/>
          <w:color w:val="222222"/>
          <w:sz w:val="16"/>
        </w:rPr>
        <w:t>1. Konfigurasi Dekomposisi Sektoral: Menghasilkan matriks pangsa dan rasio kesenjangan spasial guna mengukur ketergantungan monolitik ekonomi makro-mikro.</w:t>
        <w:br/>
        <w:t>2. Konfigurasi Aglomerasi Geospasial: Memetakan derajat konsentrasi spasial fasilitas hilirisasi, pembangkit off-grid, dan simpul maritim rantai pasok ekspor.</w:t>
        <w:br/>
        <w:t>3. Konfigurasi Inferensial Tabulasi Silang: Menetapkan protokol pengujian Chi-Square dan Odds Ratio untuk membuktikan signifikansi kausalitas tekanan industri terhadap degradasi lingkungan.</w:t>
      </w:r>
    </w:p>
    <w:p>
      <w:pPr>
        <w:spacing w:before="60" w:after="100"/>
        <w:ind w:left="160"/>
        <w:pBdr>
          <w:left w:val="single" w:sz="12" w:space="6" w:color="2E7D32"/>
        </w:pBdr>
        <w:shd w:val="clear" w:color="auto" w:fill="F1F8E9"/>
      </w:pPr>
      <w:r>
        <w:rPr>
          <w:b w:val="0"/>
          <w:i/>
          <w:color w:val="555555"/>
          <w:sz w:val="16"/>
        </w:rPr>
        <w:t>Catatan Metodologis: Seluruh analisis statistik kuantitatif dalam dokumen ini dijalankan pada matriks data panel provinsi-tahun (N = 60 observasi) dan kabupaten sentra industri. Angka komputasi dan sebaran spasial terperinci terintegrasi penuh pada naskah laporan Bab 1 dan antarmuka interaktif dashboard CELIOS.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