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Sum(Luas_Konsesi_i) for i in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Pengklasifikasian Kategori Data (Binning Threshold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keseluruhan observasi panel (N=60).</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Frekuensi_Observasi: </w:t>
      </w:r>
      <w:r>
        <w:rPr>
          <w:b w:val="0"/>
          <w:i w:val="0"/>
          <w:color w:val="444444"/>
          <w:sz w:val="16"/>
        </w:rPr>
        <w:t>Jumlah aktual pada sel tabel kontinjensi 2x2.</w:t>
        <w:br/>
      </w:r>
      <w:r>
        <w:rPr>
          <w:b/>
          <w:i w:val="0"/>
          <w:color w:val="1B5E20"/>
          <w:sz w:val="16"/>
        </w:rPr>
        <w:t xml:space="preserve">• Frekuensi_Harapan: </w:t>
      </w:r>
      <w:r>
        <w:rPr>
          <w:b w:val="0"/>
          <w:i w:val="0"/>
          <w:color w:val="444444"/>
          <w:sz w:val="16"/>
        </w:rPr>
        <w:t>Jumlah teoretis jika kedua variabel saling independen.</w:t>
      </w:r>
    </w:p>
    <w:p>
      <w:pPr>
        <w:spacing w:before="120" w:after="20"/>
      </w:pPr>
      <w:r>
        <w:rPr>
          <w:b/>
          <w:i/>
          <w:color w:val="2E7D32"/>
          <w:sz w:val="17"/>
        </w:rPr>
        <w:t>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Sum(Area_Loss_i) for i in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Sum(Area_Loss_j) for j where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Sum(Area_Loss_c * Faktor_Emisi_Biomassa_c)</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Investasi PMDN keseluruhan observasi panel (N=48).</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(Ha) di Daerah Sentra Tambang vs Non-Sentra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Sentra Tambang (Ha)</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Non-Sentra (Ha)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58,268.1</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16,418.2</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(N=48)</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0.1530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0.0662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dan rute maritim internasional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B. Interpretasi Spasial Industri: Rantai Pasok Global</w:t>
      </w:r>
    </w:p>
    <w:p>
      <w:pPr>
        <w:spacing w:after="100"/>
        <w:jc w:val="both"/>
      </w:pPr>
      <w:r>
        <w:rPr>
          <w:b w:val="0"/>
          <w:i w:val="0"/>
          <w:color w:val="222222"/>
          <w:sz w:val="19"/>
        </w:rPr>
        <w:t>Visualisasi jalur pelayaran ini mengonfirmasi temuan struktural pada sub-bab sebelumnya, di mana eksploitasi ekstraktif sepenuhnya berorientasi ekspor:</w:t>
      </w:r>
    </w:p>
    <w:p>
      <w:pPr>
        <w:spacing w:after="100"/>
        <w:jc w:val="both"/>
      </w:pPr>
      <w:r>
        <w:rPr>
          <w:b/>
          <w:i w:val="0"/>
          <w:color w:val="222222"/>
          <w:sz w:val="19"/>
        </w:rPr>
        <w:t xml:space="preserve">1. </w:t>
      </w:r>
      <w:r>
        <w:rPr>
          <w:b/>
          <w:i w:val="0"/>
          <w:color w:val="222222"/>
          <w:sz w:val="19"/>
        </w:rPr>
        <w:t xml:space="preserve">Infrastruktur Raksasa Penunjang Ekspor: </w:t>
      </w:r>
      <w:r>
        <w:rPr>
          <w:b w:val="0"/>
          <w:i w:val="0"/>
          <w:color w:val="222222"/>
          <w:sz w:val="19"/>
        </w:rPr>
        <w:t>Keenam simpul pelabuhan melayani kapal dengan kapasitas hingga 50.000 DWT, memastikan arus bahan baku mentah (raw materials) terus mengalir ke pusat-pusat industri global, terutama Tiongkok.</w:t>
        <w:br/>
      </w:r>
      <w:r>
        <w:rPr>
          <w:b/>
          <w:i w:val="0"/>
          <w:color w:val="222222"/>
          <w:sz w:val="19"/>
        </w:rPr>
        <w:t xml:space="preserve">2. </w:t>
      </w:r>
      <w:r>
        <w:rPr>
          <w:b/>
          <w:i w:val="0"/>
          <w:color w:val="222222"/>
          <w:sz w:val="19"/>
        </w:rPr>
        <w:t xml:space="preserve">Eksternalitas bagi Ekosistem Pesisir: </w:t>
      </w:r>
      <w:r>
        <w:rPr>
          <w:b w:val="0"/>
          <w:i w:val="0"/>
          <w:color w:val="222222"/>
          <w:sz w:val="19"/>
        </w:rPr>
        <w:t>Pembangunan pelabuhan samudera di pesisir Morowali dan Konawe memicu fragmentasi ekosistem laut, perusakan terumbu karang, dan konflik ruang dengan nelayan tangkap tradisional.</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Pengolahan &amp; Pemurnian (Smelter)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&amp; Basis Data Industri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Menurut 17 Lapangan Usaha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Provinsi se-Sulawesi)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Kabupaten se-Sulteng)</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Kehilangan Hutan Komoditas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Perubahan Tutupan Lahan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 Univ. of Maryland)</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Dermaga &amp; Terminal Khusus Ekspor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Kemenhub, Perpres PSN, Laporan Korporasi</w:t>
            </w:r>
          </w:p>
        </w:tc>
      </w:tr>
    </w:tbl>
    <w:p>
      <w:pPr>
        <w:spacing w:before="40" w:after="80"/>
      </w:pPr>
    </w:p>
    <w:p>
      <w:pPr>
        <w:spacing w:before="240" w:after="80"/>
        <w:pBdr>
          <w:bottom w:val="single" w:sz="6" w:space="2" w:color="2E7D32"/>
        </w:pBdr>
      </w:pPr>
      <w:r>
        <w:rPr>
          <w:b/>
          <w:i w:val="0"/>
          <w:color w:val="2E7D32"/>
          <w:sz w:val="22"/>
        </w:rPr>
        <w:t>1.8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