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p>
      <w:pPr>
        <w:jc w:val="center"/>
      </w:pPr>
      <w:r>
        <w:drawing>
          <wp:inline xmlns:a="http://schemas.openxmlformats.org/drawingml/2006/main" xmlns:pic="http://schemas.openxmlformats.org/drawingml/2006/picture">
            <wp:extent cx="5400000" cy="2233253"/>
            <wp:docPr id="1" name="Picture 1"/>
            <wp:cNvGraphicFramePr>
              <a:graphicFrameLocks noChangeAspect="1"/>
            </wp:cNvGraphicFramePr>
            <a:graphic>
              <a:graphicData uri="http://schemas.openxmlformats.org/drawingml/2006/picture">
                <pic:pic>
                  <pic:nvPicPr>
                    <pic:cNvPr id="0" name="mermaid_flowchart_1_1.png"/>
                    <pic:cNvPicPr/>
                  </pic:nvPicPr>
                  <pic:blipFill>
                    <a:blip r:embed="rId9"/>
                    <a:stretch>
                      <a:fillRect/>
                    </a:stretch>
                  </pic:blipFill>
                  <pic:spPr>
                    <a:xfrm>
                      <a:off x="0" y="0"/>
                      <a:ext cx="5400000" cy="2233253"/>
                    </a:xfrm>
                    <a:prstGeom prst="rect"/>
                  </pic:spPr>
                </pic:pic>
              </a:graphicData>
            </a:graphic>
          </wp:inline>
        </w:drawing>
      </w:r>
    </w:p>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p>
      <w:pPr>
        <w:jc w:val="center"/>
      </w:pPr>
      <w:r>
        <w:drawing>
          <wp:inline xmlns:a="http://schemas.openxmlformats.org/drawingml/2006/main" xmlns:pic="http://schemas.openxmlformats.org/drawingml/2006/picture">
            <wp:extent cx="5400000" cy="3592275"/>
            <wp:docPr id="2" name="Picture 2"/>
            <wp:cNvGraphicFramePr>
              <a:graphicFrameLocks noChangeAspect="1"/>
            </wp:cNvGraphicFramePr>
            <a:graphic>
              <a:graphicData uri="http://schemas.openxmlformats.org/drawingml/2006/picture">
                <pic:pic>
                  <pic:nvPicPr>
                    <pic:cNvPr id="0" name="mermaid_flowchart_1_2.png"/>
                    <pic:cNvPicPr/>
                  </pic:nvPicPr>
                  <pic:blipFill>
                    <a:blip r:embed="rId10"/>
                    <a:stretch>
                      <a:fillRect/>
                    </a:stretch>
                  </pic:blipFill>
                  <pic:spPr>
                    <a:xfrm>
                      <a:off x="0" y="0"/>
                      <a:ext cx="5400000" cy="3592275"/>
                    </a:xfrm>
                    <a:prstGeom prst="rect"/>
                  </pic:spPr>
                </pic:pic>
              </a:graphicData>
            </a:graphic>
          </wp:inline>
        </w:drawing>
      </w:r>
    </w:p>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p>
      <w:pPr>
        <w:jc w:val="center"/>
      </w:pPr>
      <w:r>
        <w:drawing>
          <wp:inline xmlns:a="http://schemas.openxmlformats.org/drawingml/2006/main" xmlns:pic="http://schemas.openxmlformats.org/drawingml/2006/picture">
            <wp:extent cx="3960000" cy="6157317"/>
            <wp:docPr id="3" name="Picture 3"/>
            <wp:cNvGraphicFramePr>
              <a:graphicFrameLocks noChangeAspect="1"/>
            </wp:cNvGraphicFramePr>
            <a:graphic>
              <a:graphicData uri="http://schemas.openxmlformats.org/drawingml/2006/picture">
                <pic:pic>
                  <pic:nvPicPr>
                    <pic:cNvPr id="0" name="mermaid_flowchart_1_3.png"/>
                    <pic:cNvPicPr/>
                  </pic:nvPicPr>
                  <pic:blipFill>
                    <a:blip r:embed="rId11"/>
                    <a:stretch>
                      <a:fillRect/>
                    </a:stretch>
                  </pic:blipFill>
                  <pic:spPr>
                    <a:xfrm>
                      <a:off x="0" y="0"/>
                      <a:ext cx="3960000" cy="6157317"/>
                    </a:xfrm>
                    <a:prstGeom prst="rect"/>
                  </pic:spPr>
                </pic:pic>
              </a:graphicData>
            </a:graphic>
          </wp:inline>
        </w:drawing>
      </w:r>
    </w:p>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Pemusatan Spasial Fasilitas Smelter dan PLTU Captive</w:t>
      </w:r>
    </w:p>
    <w:p>
      <w:pPr>
        <w:spacing w:after="100"/>
        <w:jc w:val="both"/>
      </w:pPr>
      <w:r>
        <w:rPr>
          <w:b w:val="0"/>
          <w:i w:val="0"/>
          <w:color w:val="222222"/>
          <w:sz w:val="19"/>
        </w:rPr>
        <w:t xml:space="preserve">Intensifikasi industri pengolahan nikel di Sulawesi berpusat pada fasilitas mega-smelter. Pengoperasian </w:t>
      </w:r>
      <w:r>
        <w:rPr>
          <w:b/>
          <w:i w:val="0"/>
          <w:color w:val="222222"/>
          <w:sz w:val="19"/>
        </w:rPr>
        <w:t>778 fasilitas smelter</w:t>
      </w:r>
      <w:r>
        <w:rPr>
          <w:b w:val="0"/>
          <w:i w:val="0"/>
          <w:color w:val="222222"/>
          <w:sz w:val="19"/>
        </w:rPr>
        <w:t xml:space="preserve"> didukung oleh kapasitas energi batu bara </w:t>
      </w:r>
      <w:r>
        <w:rPr>
          <w:b/>
          <w:i w:val="0"/>
          <w:color w:val="222222"/>
          <w:sz w:val="19"/>
        </w:rPr>
        <w:t>9,825 MW dari PLTU Captive</w:t>
      </w:r>
      <w:r>
        <w:rPr>
          <w:b w:val="0"/>
          <w:i w:val="0"/>
          <w:color w:val="222222"/>
          <w:sz w:val="19"/>
        </w:rPr>
        <w:t>. Berbeda dengan sistem kelistrikan umum PLN, pembangkit ini dikembangkan secara internal untuk menyokong operasi kawasan industri.</w:t>
      </w:r>
    </w:p>
    <w:p>
      <w:pPr>
        <w:spacing w:before="160" w:after="40"/>
      </w:pPr>
      <w:r>
        <w:rPr>
          <w:b/>
          <w:i w:val="0"/>
          <w:color w:val="2E7D32"/>
          <w:sz w:val="19"/>
        </w:rPr>
        <w:t>B. Metodologi: Analisis Spasial &amp; Uji Tabulasi Silang</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p>
      <w:pPr>
        <w:jc w:val="center"/>
      </w:pPr>
      <w:r>
        <w:drawing>
          <wp:inline xmlns:a="http://schemas.openxmlformats.org/drawingml/2006/main" xmlns:pic="http://schemas.openxmlformats.org/drawingml/2006/picture">
            <wp:extent cx="3960000" cy="13547368"/>
            <wp:docPr id="4" name="Picture 4"/>
            <wp:cNvGraphicFramePr>
              <a:graphicFrameLocks noChangeAspect="1"/>
            </wp:cNvGraphicFramePr>
            <a:graphic>
              <a:graphicData uri="http://schemas.openxmlformats.org/drawingml/2006/picture">
                <pic:pic>
                  <pic:nvPicPr>
                    <pic:cNvPr id="0" name="mermaid_flowchart.png"/>
                    <pic:cNvPicPr/>
                  </pic:nvPicPr>
                  <pic:blipFill>
                    <a:blip r:embed="rId12"/>
                    <a:stretch>
                      <a:fillRect/>
                    </a:stretch>
                  </pic:blipFill>
                  <pic:spPr>
                    <a:xfrm>
                      <a:off x="0" y="0"/>
                      <a:ext cx="3960000" cy="13547368"/>
                    </a:xfrm>
                    <a:prstGeom prst="rect"/>
                  </pic:spPr>
                </pic:pic>
              </a:graphicData>
            </a:graphic>
          </wp:inline>
        </w:drawing>
      </w:r>
    </w:p>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Akumulasi pemusatan infrastruktur ekstraktif dan hubungannya dengan eskalasi kehilangan tutupan hutan di masing-masing provinsi dapat dilihat secara empiris pada </w:t>
      </w:r>
      <w:r>
        <w:rPr>
          <w:b/>
          <w:i w:val="0"/>
          <w:color w:val="222222"/>
          <w:sz w:val="19"/>
        </w:rPr>
        <w:t>Tabel 1.4b</w:t>
      </w:r>
      <w:r>
        <w:rPr>
          <w:b w:val="0"/>
          <w:i w:val="0"/>
          <w:color w:val="222222"/>
          <w:sz w:val="19"/>
        </w:rPr>
        <w:t xml:space="preserve"> berikut:</w:t>
      </w:r>
    </w:p>
    <w:p>
      <w:pPr>
        <w:spacing w:before="120" w:after="40"/>
      </w:pPr>
      <w:r>
        <w:rPr>
          <w:b/>
          <w:i/>
          <w:color w:val="2E7D32"/>
          <w:sz w:val="17"/>
        </w:rPr>
        <w:t>Tabel 1.4b: Rincian Spasial Fasilitas Smelter, PLTU Captive, dan Deforestasi Komoditas 6 Provinsi (Dekade 2014-2023)</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Fasilitas Smelter</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PLTU Captive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Komoditas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Spasial</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344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7,325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383,303.5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262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1,900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243,001.1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111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166,047.2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46,675.3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63,041.0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99,586.2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bl>
    <w:p>
      <w:pPr>
        <w:spacing w:before="40" w:after="80"/>
      </w:pPr>
    </w:p>
    <w:p>
      <w:pPr>
        <w:spacing w:after="160"/>
      </w:pP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Ringkasan Eksekutif Seluruh Skenario Crosstab PLTU Captive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Interpretasi Spasial Industri: Eksternalitas dan Efek Meluber (Spillover)</w:t>
      </w:r>
    </w:p>
    <w:p>
      <w:pPr>
        <w:spacing w:after="100"/>
        <w:jc w:val="both"/>
      </w:pPr>
      <w:r>
        <w:rPr>
          <w:b w:val="0"/>
          <w:i w:val="0"/>
          <w:color w:val="222222"/>
          <w:sz w:val="19"/>
        </w:rPr>
        <w:t>Konsentrasi masif fasilitas smelter dan 9.825 MW PLTU Captive di Sulawesi Tengah, Tenggara, dan Selatan terbukti memicu ledakan deforestasi. Uji Chi-Square membuktikan secara absolut bahwa daerah dengan PLTU Captive memiliki risiko deforestasi 18 kali lipat lebih parah dibandingkan wilayah non-smelter. Daya rusak industri ini melampaui tapak proyek (spillover effect).</w:t>
      </w:r>
    </w:p>
    <w:p>
      <w:pPr>
        <w:spacing w:after="100"/>
        <w:jc w:val="both"/>
      </w:pPr>
      <w:r>
        <w:rPr>
          <w:b w:val="0"/>
          <w:i w:val="0"/>
          <w:color w:val="222222"/>
          <w:sz w:val="19"/>
        </w:rPr>
        <w:t>Kombinasi analisis spasial (Tabel 1.4b) dan hasil pengujian empiris (Tabel 1.5) membuktikan secara meyakinkan keterkaitan langsung antara ekspansi infrastruktur ekstraktif dengan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2E7D32"/>
          <w:sz w:val="22"/>
        </w:rPr>
        <w:t>1.3 TREN PERTUMBUHAN IZIN TAMBANG BARU &amp; UJI SIGNIFIKANSI STATISTIK</w:t>
      </w:r>
    </w:p>
    <w:p>
      <w:pPr>
        <w:spacing w:before="160" w:after="40"/>
      </w:pPr>
      <w:r>
        <w:rPr>
          <w:b/>
          <w:i w:val="0"/>
          <w:color w:val="2E7D32"/>
          <w:sz w:val="19"/>
        </w:rPr>
        <w:t>A. Pengantar &amp; Kerangka Narasi</w:t>
      </w:r>
    </w:p>
    <w:p>
      <w:pPr>
        <w:spacing w:after="100"/>
        <w:jc w:val="both"/>
      </w:pPr>
      <w:r>
        <w:rPr>
          <w:b w:val="0"/>
          <w:i w:val="0"/>
          <w:color w:val="222222"/>
          <w:sz w:val="19"/>
        </w:rPr>
        <w:t xml:space="preserve">Pola perizinan pertambangan di Pulau Sulawesi selama satu dekade terakhir menunjukkan peningkatan alokasi ruang yang signifikan. Berdasarkan data agregat </w:t>
      </w:r>
      <w:r>
        <w:rPr>
          <w:b/>
          <w:i/>
          <w:color w:val="222222"/>
          <w:sz w:val="19"/>
        </w:rPr>
        <w:t>Minerbaone</w:t>
      </w:r>
      <w:r>
        <w:rPr>
          <w:b w:val="0"/>
          <w:i w:val="0"/>
          <w:color w:val="222222"/>
          <w:sz w:val="19"/>
        </w:rPr>
        <w:t>, tercatat 574 Izin Usaha Pertambangan (IUP) baru sepanjang 2014-2024, dengan total luas konsesi mencapai 819,452 Hektar.</w:t>
      </w:r>
    </w:p>
    <w:p>
      <w:pPr>
        <w:spacing w:after="100"/>
        <w:jc w:val="both"/>
      </w:pPr>
      <w:r>
        <w:rPr>
          <w:b w:val="0"/>
          <w:i w:val="0"/>
          <w:color w:val="222222"/>
          <w:sz w:val="19"/>
        </w:rPr>
        <w:t xml:space="preserve">Berdasarkan analisis tren time-series pada grafik "Penerbitan Izin Tambang", penerbitan izin pada periode awal (2014) tercatat lebih rendah. Peningkatan signifikan terjadi pada periode 2022–2024. Anotasi pada grafik mencatat kenaikan sebesar </w:t>
      </w:r>
      <w:r>
        <w:rPr>
          <w:b/>
          <w:i w:val="0"/>
          <w:color w:val="222222"/>
          <w:sz w:val="19"/>
        </w:rPr>
        <w:t>246% pada periode 2022–2024</w:t>
      </w:r>
      <w:r>
        <w:rPr>
          <w:b w:val="0"/>
          <w:i w:val="0"/>
          <w:color w:val="222222"/>
          <w:sz w:val="19"/>
        </w:rPr>
        <w:t>. Data ini mengindikasikan perlunya evaluasi terhadap instrumen pengendalian perizinan dan tata ruang. Distribusi perizinan tertinggi berada di Sulawesi Tengah dan Sulawesi Tenggara, yang selaras dengan kawasan pengembangan industri pemurnian nikel.</w:t>
      </w:r>
    </w:p>
    <w:p>
      <w:pPr>
        <w:spacing w:after="100"/>
        <w:jc w:val="both"/>
      </w:pPr>
      <w:r>
        <w:rPr>
          <w:b w:val="0"/>
          <w:i w:val="0"/>
          <w:color w:val="222222"/>
          <w:sz w:val="19"/>
        </w:rPr>
        <w:t xml:space="preserve">Uji </w:t>
      </w:r>
      <w:r>
        <w:rPr>
          <w:b/>
          <w:i w:val="0"/>
          <w:color w:val="222222"/>
          <w:sz w:val="19"/>
        </w:rPr>
        <w:t>Crosstabulation</w:t>
      </w:r>
      <w:r>
        <w:rPr>
          <w:b w:val="0"/>
          <w:i w:val="0"/>
          <w:color w:val="222222"/>
          <w:sz w:val="19"/>
        </w:rPr>
        <w:t xml:space="preserve"> pada analisis ini digunakan untuk mengukur hubungan antara laju penerbitan perizinan (X) dan indikator deforestasi di wilayah tersebut (Y).</w:t>
      </w:r>
    </w:p>
    <w:p>
      <w:pPr>
        <w:spacing w:before="160" w:after="40"/>
      </w:pPr>
      <w:r>
        <w:rPr>
          <w:b/>
          <w:i w:val="0"/>
          <w:color w:val="2E7D32"/>
          <w:sz w:val="19"/>
        </w:rPr>
        <w:t>B. Alur Logika Metodologis (Flowchart)</w:t>
      </w:r>
    </w:p>
    <w:p>
      <w:pPr>
        <w:spacing w:after="100"/>
        <w:jc w:val="both"/>
      </w:pPr>
      <w:r>
        <w:rPr>
          <w:b w:val="0"/>
          <w:i w:val="0"/>
          <w:color w:val="222222"/>
          <w:sz w:val="19"/>
        </w:rPr>
        <w:t xml:space="preserve">Pendekatan statistik Time-Series untuk mengidentifikasi tren pertumbuhan izin tambang diilustrasikan pada </w:t>
      </w:r>
      <w:r>
        <w:rPr>
          <w:b/>
          <w:i w:val="0"/>
          <w:color w:val="222222"/>
          <w:sz w:val="19"/>
        </w:rPr>
        <w:t>Bagan Alur 1.5</w:t>
      </w:r>
      <w:r>
        <w:rPr>
          <w:b w:val="0"/>
          <w:i w:val="0"/>
          <w:color w:val="222222"/>
          <w:sz w:val="19"/>
        </w:rPr>
        <w:t xml:space="preserve"> berikut. Adapun untuk tahapan analisis inferensial (Uji Chi-Square), alur logikanya merujuk secara penuh pada </w:t>
      </w:r>
      <w:r>
        <w:rPr>
          <w:b/>
          <w:i w:val="0"/>
          <w:color w:val="222222"/>
          <w:sz w:val="19"/>
        </w:rPr>
        <w:t>Bagan Alur 1.4</w:t>
      </w:r>
      <w:r>
        <w:rPr>
          <w:b w:val="0"/>
          <w:i w:val="0"/>
          <w:color w:val="222222"/>
          <w:sz w:val="19"/>
        </w:rPr>
        <w:t xml:space="preserve"> (di sub-bab sebelumnya) dengan penyesuaian konfigurasi variabel spesifik sesuai Tabel Asumsi Dasar di bawah gambar.</w:t>
      </w:r>
    </w:p>
    <w:p>
      <w:pPr>
        <w:spacing w:before="120" w:after="40"/>
      </w:pPr>
      <w:r>
        <w:rPr>
          <w:b/>
          <w:i/>
          <w:color w:val="2E7D32"/>
          <w:sz w:val="17"/>
        </w:rPr>
        <w:t>Bagan Alur 1.5: Alur Logika Analisis Tren (Time-Series) Penerbitan Izin Tambang</w:t>
      </w:r>
    </w:p>
    <w:p>
      <w:pPr>
        <w:jc w:val="center"/>
      </w:pPr>
      <w:r>
        <w:drawing>
          <wp:inline xmlns:a="http://schemas.openxmlformats.org/drawingml/2006/main" xmlns:pic="http://schemas.openxmlformats.org/drawingml/2006/picture">
            <wp:extent cx="5400000" cy="708416"/>
            <wp:docPr id="5" name="Picture 5"/>
            <wp:cNvGraphicFramePr>
              <a:graphicFrameLocks noChangeAspect="1"/>
            </wp:cNvGraphicFramePr>
            <a:graphic>
              <a:graphicData uri="http://schemas.openxmlformats.org/drawingml/2006/picture">
                <pic:pic>
                  <pic:nvPicPr>
                    <pic:cNvPr id="0" name="mermaid_flowchart_1_3_izin_alt.png"/>
                    <pic:cNvPicPr/>
                  </pic:nvPicPr>
                  <pic:blipFill>
                    <a:blip r:embed="rId13"/>
                    <a:stretch>
                      <a:fillRect/>
                    </a:stretch>
                  </pic:blipFill>
                  <pic:spPr>
                    <a:xfrm>
                      <a:off x="0" y="0"/>
                      <a:ext cx="5400000" cy="708416"/>
                    </a:xfrm>
                    <a:prstGeom prst="rect"/>
                  </pic:spPr>
                </pic:pic>
              </a:graphicData>
            </a:graphic>
          </wp:inline>
        </w:drawing>
      </w:r>
    </w:p>
    <w:p>
      <w:pPr>
        <w:spacing w:before="40" w:after="80"/>
      </w:pPr>
    </w:p>
    <w:p>
      <w:pPr>
        <w:spacing w:before="12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Baru (IUP) / Luas Konsesi Baru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w:t>
            </w:r>
          </w:p>
        </w:tc>
      </w:tr>
    </w:tbl>
    <w:p>
      <w:pPr>
        <w:spacing w:before="40" w:after="80"/>
      </w:pPr>
    </w:p>
    <w:p>
      <w:pPr>
        <w:spacing w:before="40" w:after="80"/>
      </w:pPr>
    </w:p>
    <w:p>
      <w:pPr>
        <w:spacing w:before="160" w:after="40"/>
      </w:pPr>
      <w:r>
        <w:rPr>
          <w:b/>
          <w:i w:val="0"/>
          <w:color w:val="2E7D32"/>
          <w:sz w:val="19"/>
        </w:rPr>
        <w:t>C. Formulasi Matematis: Agregasi Tren Spasial &amp; Uji Chi-Square</w:t>
      </w:r>
    </w:p>
    <w:p>
      <w:pPr>
        <w:spacing w:after="100"/>
        <w:jc w:val="both"/>
      </w:pPr>
      <w:r>
        <w:rPr>
          <w:b w:val="0"/>
          <w:i w:val="0"/>
          <w:color w:val="222222"/>
          <w:sz w:val="19"/>
        </w:rPr>
        <w:t>Parameterisasi laju pertumbuhan perizinan, luas konsesi, dan pengujian signifikansi dampaknya terhadap deforestasi dihitung menggunakan formulasi berikut:</w:t>
      </w:r>
    </w:p>
    <w:p>
      <w:pPr>
        <w:spacing w:before="120" w:after="20"/>
      </w:pPr>
      <w:r>
        <w:rPr>
          <w:b/>
          <w:i/>
          <w:color w:val="2E7D32"/>
          <w:sz w:val="17"/>
        </w:rPr>
        <w:t>Persamaan: Persamaan Agregasi Luas Konsesi Tambang Baru per Kategori Spasial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Total_Konsesi_Kategori_t = Sum(Luas_Konsesi_i) for i in Kategori_Wilayah</w:t>
      </w:r>
    </w:p>
    <w:p>
      <w:pPr>
        <w:spacing w:before="40" w:after="120"/>
        <w:ind w:left="280"/>
      </w:pPr>
      <w:r>
        <w:rPr>
          <w:b/>
          <w:i/>
          <w:color w:val="333333"/>
          <w:sz w:val="16"/>
        </w:rPr>
        <w:t>Keterangan Variabel:</w:t>
        <w:br/>
      </w:r>
      <w:r>
        <w:rPr>
          <w:b/>
          <w:i w:val="0"/>
          <w:color w:val="1B5E20"/>
          <w:sz w:val="16"/>
        </w:rPr>
        <w:t xml:space="preserve">• Total_Konsesi_Kategori_t: </w:t>
      </w:r>
      <w:r>
        <w:rPr>
          <w:b w:val="0"/>
          <w:i w:val="0"/>
          <w:color w:val="444444"/>
          <w:sz w:val="16"/>
        </w:rPr>
        <w:t>Total luas konsesi tambang baru yang diterbitkan pada tahun berjalan (t) di dalam kategori wilayah spasial tertentu (satuan: Hektar / Ha).</w:t>
        <w:br/>
      </w:r>
      <w:r>
        <w:rPr>
          <w:b/>
          <w:i w:val="0"/>
          <w:color w:val="1B5E20"/>
          <w:sz w:val="16"/>
        </w:rPr>
        <w:t xml:space="preserve">• Kategori_Wilayah: </w:t>
      </w:r>
      <w:r>
        <w:rPr>
          <w:b w:val="0"/>
          <w:i w:val="0"/>
          <w:color w:val="444444"/>
          <w:sz w:val="16"/>
        </w:rPr>
        <w:t>Pengelompokan spasial provinsi observasi menjadi 'Daerah Sentra Tambang' atau 'Daerah Non-Sentra'.</w:t>
        <w:br/>
      </w:r>
      <w:r>
        <w:rPr>
          <w:b/>
          <w:i w:val="0"/>
          <w:color w:val="1B5E20"/>
          <w:sz w:val="16"/>
        </w:rPr>
        <w:t xml:space="preserve">• Luas_Konsesi_i: </w:t>
      </w:r>
      <w:r>
        <w:rPr>
          <w:b w:val="0"/>
          <w:i w:val="0"/>
          <w:color w:val="444444"/>
          <w:sz w:val="16"/>
        </w:rPr>
        <w:t>Luasan tiap individu Izin Usaha Pertambangan (IUP) baru yang terbit (satuan: Hektar / Ha).</w:t>
      </w:r>
    </w:p>
    <w:p>
      <w:pPr>
        <w:spacing w:before="120" w:after="20"/>
      </w:pPr>
      <w:r>
        <w:rPr>
          <w:b/>
          <w:i/>
          <w:color w:val="2E7D32"/>
          <w:sz w:val="17"/>
        </w:rPr>
        <w:t>Persamaan: Laju Pertumbuhan Izin Tahunan (Regresi Komparatif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 </w:t>
      </w:r>
      <w:r>
        <w:rPr>
          <w:b w:val="0"/>
          <w:i w:val="0"/>
          <w:color w:val="444444"/>
          <w:sz w:val="16"/>
        </w:rPr>
        <w:t>Agregasi jumlah izin (atau luasan) pada tahun berjalan (t).</w:t>
        <w:br/>
      </w:r>
      <w:r>
        <w:rPr>
          <w:b/>
          <w:i w:val="0"/>
          <w:color w:val="1B5E20"/>
          <w:sz w:val="16"/>
        </w:rPr>
        <w:t xml:space="preserve">• Jumlah_Izin_{t-1}: </w:t>
      </w:r>
      <w:r>
        <w:rPr>
          <w:b w:val="0"/>
          <w:i w:val="0"/>
          <w:color w:val="444444"/>
          <w:sz w:val="16"/>
        </w:rPr>
        <w:t>Agregasi jumlah izin (atau luasan) pada satu tahun sebelumnya (t - 1).</w:t>
      </w:r>
    </w:p>
    <w:p>
      <w:pPr>
        <w:spacing w:before="120" w:after="20"/>
      </w:pPr>
      <w:r>
        <w:rPr>
          <w:b/>
          <w:i/>
          <w:color w:val="2E7D32"/>
          <w:sz w:val="17"/>
        </w:rPr>
        <w:t>Persamaan: Pengklasifikasian Kategori Data (Binning Threshold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keseluruhan observasi panel (N=60).</w:t>
      </w:r>
    </w:p>
    <w:p>
      <w:pPr>
        <w:spacing w:before="120" w:after="20"/>
      </w:pPr>
      <w:r>
        <w:rPr>
          <w:b/>
          <w:i/>
          <w:color w:val="2E7D32"/>
          <w:sz w:val="17"/>
        </w:rPr>
        <w:t>Persamaan: Uji Independensi Chi-Square (Pearson)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perizinan dengan deforestasi komoditas.</w:t>
        <w:br/>
      </w:r>
      <w:r>
        <w:rPr>
          <w:b/>
          <w:i w:val="0"/>
          <w:color w:val="1B5E20"/>
          <w:sz w:val="16"/>
        </w:rPr>
        <w:t xml:space="preserve">• Frekuensi_Observasi: </w:t>
      </w:r>
      <w:r>
        <w:rPr>
          <w:b w:val="0"/>
          <w:i w:val="0"/>
          <w:color w:val="444444"/>
          <w:sz w:val="16"/>
        </w:rPr>
        <w:t>Jumlah aktual pada sel tabel kontinjensi 2x2.</w:t>
        <w:br/>
      </w:r>
      <w:r>
        <w:rPr>
          <w:b/>
          <w:i w:val="0"/>
          <w:color w:val="1B5E20"/>
          <w:sz w:val="16"/>
        </w:rPr>
        <w:t xml:space="preserve">• Frekuensi_Harapan: </w:t>
      </w:r>
      <w:r>
        <w:rPr>
          <w:b w:val="0"/>
          <w:i w:val="0"/>
          <w:color w:val="444444"/>
          <w:sz w:val="16"/>
        </w:rPr>
        <w:t>Jumlah teoretis jika kedua variabel saling independen.</w:t>
      </w:r>
    </w:p>
    <w:p>
      <w:pPr>
        <w:spacing w:before="120" w:after="20"/>
      </w:pPr>
      <w:r>
        <w:rPr>
          <w:b/>
          <w:i/>
          <w:color w:val="2E7D32"/>
          <w:sz w:val="17"/>
        </w:rPr>
        <w:t>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peluang risiko deforestasi tinggi pada kelompok dengan tekanan industri (izin) yang tinggi.</w:t>
      </w:r>
    </w:p>
    <w:p>
      <w:pPr>
        <w:spacing w:after="100"/>
        <w:jc w:val="both"/>
      </w:pPr>
      <w:r>
        <w:rPr>
          <w:b w:val="0"/>
          <w:i w:val="0"/>
          <w:color w:val="222222"/>
          <w:sz w:val="19"/>
        </w:rPr>
        <w:t xml:space="preserve">Dinamika historis perizinan secara terperinci dapat dilihat pada </w:t>
      </w:r>
      <w:r>
        <w:rPr>
          <w:b/>
          <w:i w:val="0"/>
          <w:color w:val="222222"/>
          <w:sz w:val="19"/>
        </w:rPr>
        <w:t>Tabel 1.5c</w:t>
      </w:r>
      <w:r>
        <w:rPr>
          <w:b w:val="0"/>
          <w:i w:val="0"/>
          <w:color w:val="222222"/>
          <w:sz w:val="19"/>
        </w:rPr>
        <w:t>, yang menunjukkan tren penerbitan izin baru di wilayah studi:</w:t>
      </w:r>
    </w:p>
    <w:p>
      <w:pPr>
        <w:spacing w:before="120" w:after="40"/>
      </w:pPr>
      <w:r>
        <w:rPr>
          <w:b/>
          <w:i/>
          <w:color w:val="2E7D32"/>
          <w:sz w:val="17"/>
        </w:rPr>
        <w:t>Tabel 1.5c: Tren Penerbitan Izin Tambang Sulawesi (2014-2024)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Gorontalo</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Barat</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Selatan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Tengah</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Tenggara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Utara</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r>
    </w:tbl>
    <w:p>
      <w:pPr>
        <w:spacing w:before="40" w:after="80"/>
      </w:pPr>
    </w:p>
    <w:p>
      <w:pPr>
        <w:spacing w:before="80" w:after="160"/>
      </w:pPr>
    </w:p>
    <w:p>
      <w:pPr>
        <w:spacing w:before="160" w:after="40"/>
      </w:pPr>
      <w:r>
        <w:rPr>
          <w:b/>
          <w:i w:val="0"/>
          <w:color w:val="2E7D32"/>
          <w:sz w:val="19"/>
        </w:rPr>
        <w:t>D. Matriks Hasil Uji Empiris: Ringkasan Skenario Crosstab</w:t>
      </w:r>
    </w:p>
    <w:p>
      <w:pPr>
        <w:spacing w:after="100"/>
        <w:jc w:val="both"/>
      </w:pPr>
      <w:r>
        <w:rPr>
          <w:b w:val="0"/>
          <w:i w:val="0"/>
          <w:color w:val="222222"/>
          <w:sz w:val="19"/>
        </w:rPr>
        <w:t xml:space="preserve">Hasil pengujian independensi statistik Chi-Square dan estimasi rasio risiko (Odds Ratio) untuk berbagai skenario kombinasi variabel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Eksekutif Seluruh Skenario Crosstab Data Panel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serangkaian skenario pengujian panel, diperoleh bukti yang membongkar realitas empiris di tingkat tapak:</w:t>
      </w:r>
    </w:p>
    <w:p>
      <w:pPr>
        <w:spacing w:after="100"/>
        <w:jc w:val="both"/>
      </w:pPr>
      <w:r>
        <w:rPr>
          <w:b/>
          <w:i w:val="0"/>
          <w:color w:val="222222"/>
          <w:sz w:val="19"/>
        </w:rPr>
        <w:t xml:space="preserve">1. </w:t>
      </w:r>
      <w:r>
        <w:rPr>
          <w:b/>
          <w:i w:val="0"/>
          <w:color w:val="222222"/>
          <w:sz w:val="19"/>
        </w:rPr>
        <w:t xml:space="preserve">Konfirmasi Signifikansi Kerusakan: </w:t>
      </w:r>
      <w:r>
        <w:rPr>
          <w:b w:val="0"/>
          <w:i w:val="0"/>
          <w:color w:val="222222"/>
          <w:sz w:val="19"/>
        </w:rPr>
        <w:t xml:space="preserve">Tingginya </w:t>
      </w:r>
      <w:r>
        <w:rPr>
          <w:b/>
          <w:i w:val="0"/>
          <w:color w:val="222222"/>
          <w:sz w:val="19"/>
        </w:rPr>
        <w:t>Odds Ratio</w:t>
      </w:r>
      <w:r>
        <w:rPr>
          <w:b w:val="0"/>
          <w:i w:val="0"/>
          <w:color w:val="222222"/>
          <w:sz w:val="19"/>
        </w:rPr>
        <w:t xml:space="preserve"> pada skenario yang terbukti </w:t>
      </w:r>
      <w:r>
        <w:rPr>
          <w:b/>
          <w:i w:val="0"/>
          <w:color w:val="222222"/>
          <w:sz w:val="19"/>
        </w:rPr>
        <w:t>SIGNIFIKAN</w:t>
      </w:r>
      <w:r>
        <w:rPr>
          <w:b w:val="0"/>
          <w:i w:val="0"/>
          <w:color w:val="222222"/>
          <w:sz w:val="19"/>
        </w:rPr>
        <w:t xml:space="preserve"> menegaskan bahwa setiap kali kran perizinan atau luas konsesi diperlebar, risiko terjadinya deforestasi melonjak berkali-kali lipat.</w:t>
        <w:br/>
      </w:r>
      <w:r>
        <w:rPr>
          <w:b/>
          <w:i w:val="0"/>
          <w:color w:val="222222"/>
          <w:sz w:val="19"/>
        </w:rPr>
        <w:t xml:space="preserve">2. </w:t>
      </w:r>
      <w:r>
        <w:rPr>
          <w:b/>
          <w:i w:val="0"/>
          <w:color w:val="222222"/>
          <w:sz w:val="19"/>
        </w:rPr>
        <w:t xml:space="preserve">Anomali Efek Meluber (Spillover Effect): </w:t>
      </w:r>
      <w:r>
        <w:rPr>
          <w:b w:val="0"/>
          <w:i w:val="0"/>
          <w:color w:val="222222"/>
          <w:sz w:val="19"/>
        </w:rPr>
        <w:t xml:space="preserve">Menariknya, apabila ada skenario yang menunjukkan </w:t>
      </w:r>
      <w:r>
        <w:rPr>
          <w:b/>
          <w:i w:val="0"/>
          <w:color w:val="222222"/>
          <w:sz w:val="19"/>
        </w:rPr>
        <w:t>TIDAK SIGNIFIKAN</w:t>
      </w:r>
      <w:r>
        <w:rPr>
          <w:b w:val="0"/>
          <w:i w:val="0"/>
          <w:color w:val="222222"/>
          <w:sz w:val="19"/>
        </w:rPr>
        <w:t>, hal ini sama sekali bukan berarti industri ekstraktif ramah lingkungan. Dalam kacamata ekonomi politik ekologi, ini justru merupakan sinyal bahaya tertinggi—sebuah indikasi bahwa kehancuran ekologis telah menyebar tak terkendali (*spillover effect*). Kerusakan merambat jauh melampaui batas konsesi resmi komoditas hingga mendegradasi total lanskap alam secara merata.</w:t>
        <w:br/>
      </w:r>
      <w:r>
        <w:rPr>
          <w:b/>
          <w:i w:val="0"/>
          <w:color w:val="222222"/>
          <w:sz w:val="19"/>
        </w:rPr>
        <w:t xml:space="preserve">3. </w:t>
      </w:r>
      <w:r>
        <w:rPr>
          <w:b/>
          <w:i w:val="0"/>
          <w:color w:val="222222"/>
          <w:sz w:val="19"/>
        </w:rPr>
        <w:t xml:space="preserve">Interpretasi Sektoral Tren Perizinan: </w:t>
      </w:r>
      <w:r>
        <w:rPr>
          <w:b w:val="0"/>
          <w:i w:val="0"/>
          <w:color w:val="222222"/>
          <w:sz w:val="19"/>
        </w:rPr>
        <w:t>Peningkatan tajam penerbitan IUP di kawasan timur Sulawesi berbanding lurus dengan perluasan area konversi hutan. Konsentrasi perizinan yang selaras dengan pusat pengembangan hilirisasi nikel menunjukkan mutlaknya instrumen tata ruang dan evaluasi lingkungan untuk ditegakkan secara ketat.</w:t>
        <w:br/>
      </w:r>
      <w:r>
        <w:rPr>
          <w:b/>
          <w:i w:val="0"/>
          <w:color w:val="222222"/>
          <w:sz w:val="19"/>
        </w:rPr>
        <w:t xml:space="preserve">4. </w:t>
      </w:r>
      <w:r>
        <w:rPr>
          <w:b/>
          <w:i w:val="0"/>
          <w:color w:val="222222"/>
          <w:sz w:val="19"/>
        </w:rPr>
        <w:t xml:space="preserve">Eskalasi Ekstrem Periode 2022-2024: </w:t>
      </w:r>
      <w:r>
        <w:rPr>
          <w:b w:val="0"/>
          <w:i w:val="0"/>
          <w:color w:val="222222"/>
          <w:sz w:val="19"/>
        </w:rPr>
        <w:t>Terjadi lonjakan absolut sebesar 246% dalam penerbitan izin tambang baru pada rentang 2022 hingga 2024. Lonjakan ini mengindikasikan percepatan luar biasa dari ekspansi industri ekstraktif yang secara faktual mengamplifikasi ancaman terhadap kapasitas daya dukung lingkungan tapak, terutama di sentra-sentra produksi.</w:t>
      </w:r>
    </w:p>
    <w:p>
      <w:pPr>
        <w:spacing w:before="240" w:after="80"/>
        <w:pBdr>
          <w:bottom w:val="single" w:sz="6" w:space="2" w:color="2E7D32"/>
        </w:pBdr>
      </w:pPr>
      <w:r>
        <w:rPr>
          <w:b/>
          <w:i w:val="0"/>
          <w:color w:val="2E7D32"/>
          <w:sz w:val="22"/>
        </w:rPr>
        <w:t>1.4 ANALISIS REALISASI INVESTASI PMDN DAN DAMPAK TERHADAP TUTUPAN HUTAN</w:t>
      </w:r>
    </w:p>
    <w:p>
      <w:pPr>
        <w:spacing w:before="160" w:after="40"/>
      </w:pPr>
      <w:r>
        <w:rPr>
          <w:b/>
          <w:i w:val="0"/>
          <w:color w:val="2E7D32"/>
          <w:sz w:val="19"/>
        </w:rPr>
        <w:t>A. Pengantar &amp; Kerangka Narasi</w:t>
      </w:r>
    </w:p>
    <w:p>
      <w:pPr>
        <w:spacing w:after="10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60" w:after="40"/>
      </w:pPr>
      <w:r>
        <w:rPr>
          <w:b/>
          <w:i w:val="0"/>
          <w:color w:val="2E7D32"/>
          <w:sz w:val="19"/>
        </w:rPr>
        <w:t>B. Alur Logika Metodologis Analisis Realisasi Investasi PMDN</w:t>
      </w:r>
    </w:p>
    <w:p>
      <w:pPr>
        <w:spacing w:after="100"/>
        <w:jc w:val="both"/>
      </w:pPr>
      <w:r>
        <w:rPr>
          <w:b w:val="0"/>
          <w:i w:val="0"/>
          <w:color w:val="222222"/>
          <w:sz w:val="19"/>
        </w:rPr>
        <w:t xml:space="preserve">Kerangka operasionalisasi uji statistik tabulasi silang antara realisasi Investasi PMDN dan deforestasi dimodelkan dalam kerangka alur logika sebagaimana diilustrasikan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Alur Logika Metodologis Uji Independensi Panel Investasi PMDN vs Deforestasi</w:t>
      </w:r>
    </w:p>
    <w:p>
      <w:r>
        <w:drawing>
          <wp:inline xmlns:a="http://schemas.openxmlformats.org/drawingml/2006/main" xmlns:pic="http://schemas.openxmlformats.org/drawingml/2006/picture">
            <wp:extent cx="5400000" cy="1076509"/>
            <wp:docPr id="6" name="Picture 6"/>
            <wp:cNvGraphicFramePr>
              <a:graphicFrameLocks noChangeAspect="1"/>
            </wp:cNvGraphicFramePr>
            <a:graphic>
              <a:graphicData uri="http://schemas.openxmlformats.org/drawingml/2006/picture">
                <pic:pic>
                  <pic:nvPicPr>
                    <pic:cNvPr id="0" name="mermaid_flowchart_1_4.png"/>
                    <pic:cNvPicPr/>
                  </pic:nvPicPr>
                  <pic:blipFill>
                    <a:blip r:embed="rId14"/>
                    <a:stretch>
                      <a:fillRect/>
                    </a:stretch>
                  </pic:blipFill>
                  <pic:spPr>
                    <a:xfrm>
                      <a:off x="0" y="0"/>
                      <a:ext cx="5400000" cy="1076509"/>
                    </a:xfrm>
                    <a:prstGeom prst="rect"/>
                  </pic:spPr>
                </pic:pic>
              </a:graphicData>
            </a:graphic>
          </wp:inline>
        </w:drawing>
      </w:r>
    </w:p>
    <w:p>
      <w:pPr>
        <w:spacing w:before="160" w:after="40"/>
      </w:pPr>
      <w:r>
        <w:rPr>
          <w:b/>
          <w:i w:val="0"/>
          <w:color w:val="2E7D32"/>
          <w:sz w:val="19"/>
        </w:rPr>
        <w:t>C. Formulasi Matematis: Agregasi Dampak Ekologis &amp; Pengujian Statistik</w:t>
      </w:r>
    </w:p>
    <w:p>
      <w:pPr>
        <w:spacing w:before="120" w:after="20"/>
      </w:pPr>
      <w:r>
        <w:rPr>
          <w:b/>
          <w:i/>
          <w:color w:val="2E7D32"/>
          <w:sz w:val="17"/>
        </w:rPr>
        <w:t>Persamaan: Persamaan Agregasi Luasan Deforestasi Berdasarkan Faktor Penggerak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Total_Deforestasi_Driver_k = Sum(Area_Loss_i) for i in Kategori_Driver_k</w:t>
      </w:r>
    </w:p>
    <w:p>
      <w:pPr>
        <w:spacing w:before="40" w:after="120"/>
        <w:ind w:left="280"/>
      </w:pPr>
      <w:r>
        <w:rPr>
          <w:b/>
          <w:i/>
          <w:color w:val="333333"/>
          <w:sz w:val="16"/>
        </w:rPr>
        <w:t>Keterangan Variabel:</w:t>
        <w:br/>
      </w:r>
      <w:r>
        <w:rPr>
          <w:b/>
          <w:i w:val="0"/>
          <w:color w:val="1B5E20"/>
          <w:sz w:val="16"/>
        </w:rPr>
        <w:t xml:space="preserve">• Total_Deforestasi_Driver_k: </w:t>
      </w:r>
      <w:r>
        <w:rPr>
          <w:b w:val="0"/>
          <w:i w:val="0"/>
          <w:color w:val="444444"/>
          <w:sz w:val="16"/>
        </w:rPr>
        <w:t>Total luas kehilangan tutupan pohon yang diakibatkan oleh faktor penggerak k (contoh: Ekspansi Komoditas) di seluruh wilayah observasi (satuan: Hektar / Ha).</w:t>
        <w:br/>
      </w:r>
      <w:r>
        <w:rPr>
          <w:b/>
          <w:i w:val="0"/>
          <w:color w:val="1B5E20"/>
          <w:sz w:val="16"/>
        </w:rPr>
        <w:t xml:space="preserve">• Kategori_Driver_k: </w:t>
      </w:r>
      <w:r>
        <w:rPr>
          <w:b w:val="0"/>
          <w:i w:val="0"/>
          <w:color w:val="444444"/>
          <w:sz w:val="16"/>
        </w:rPr>
        <w:t>Klasifikasi penyebab utama deforestasi (Dominant Driver of Tree Cover Loss) berdasarkan model data historis satelit.</w:t>
        <w:br/>
      </w:r>
      <w:r>
        <w:rPr>
          <w:b/>
          <w:i w:val="0"/>
          <w:color w:val="1B5E20"/>
          <w:sz w:val="16"/>
        </w:rPr>
        <w:t xml:space="preserve">• Area_Loss_i: </w:t>
      </w:r>
      <w:r>
        <w:rPr>
          <w:b w:val="0"/>
          <w:i w:val="0"/>
          <w:color w:val="444444"/>
          <w:sz w:val="16"/>
        </w:rPr>
        <w:t>Luas kehilangan tutupan pohon pada piksel observasi ke-i (satuan: Hektar / Ha).</w:t>
      </w:r>
    </w:p>
    <w:p>
      <w:pPr>
        <w:spacing w:before="120" w:after="20"/>
      </w:pPr>
      <w:r>
        <w:rPr>
          <w:b/>
          <w:i/>
          <w:color w:val="2E7D32"/>
          <w:sz w:val="17"/>
        </w:rPr>
        <w:t>Persamaan: Persamaan Perhitungan Akumulasi Kehilangan Hutan Primer (Primary Forest Loss)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Total_Primary_Loss = Sum(Area_Loss_j) for j where Tipe_Hutan = "Primer"</w:t>
      </w:r>
    </w:p>
    <w:p>
      <w:pPr>
        <w:spacing w:before="40" w:after="120"/>
        <w:ind w:left="280"/>
      </w:pPr>
      <w:r>
        <w:rPr>
          <w:b/>
          <w:i/>
          <w:color w:val="333333"/>
          <w:sz w:val="16"/>
        </w:rPr>
        <w:t>Keterangan Variabel:</w:t>
        <w:br/>
      </w:r>
      <w:r>
        <w:rPr>
          <w:b/>
          <w:i w:val="0"/>
          <w:color w:val="1B5E20"/>
          <w:sz w:val="16"/>
        </w:rPr>
        <w:t xml:space="preserve">• Total_Primary_Loss: </w:t>
      </w:r>
      <w:r>
        <w:rPr>
          <w:b w:val="0"/>
          <w:i w:val="0"/>
          <w:color w:val="444444"/>
          <w:sz w:val="16"/>
        </w:rPr>
        <w:t>Akumulasi luas konversi tutupan hutan alam primer tak terganggu (intact primary forest) selama periode pengamatan (satuan: Hektar / Ha).</w:t>
        <w:br/>
      </w:r>
      <w:r>
        <w:rPr>
          <w:b/>
          <w:i w:val="0"/>
          <w:color w:val="1B5E20"/>
          <w:sz w:val="16"/>
        </w:rPr>
        <w:t xml:space="preserve">• Tipe_Hutan: </w:t>
      </w:r>
      <w:r>
        <w:rPr>
          <w:b w:val="0"/>
          <w:i w:val="0"/>
          <w:color w:val="444444"/>
          <w:sz w:val="16"/>
        </w:rPr>
        <w:t>Klasifikasi basemap jenis tutupan lahan awal sebelum terjadi deforestasi.</w:t>
      </w:r>
    </w:p>
    <w:p>
      <w:pPr>
        <w:spacing w:before="120" w:after="20"/>
      </w:pPr>
      <w:r>
        <w:rPr>
          <w:b/>
          <w:i/>
          <w:color w:val="2E7D32"/>
          <w:sz w:val="17"/>
        </w:rPr>
        <w:t>Persamaan: Persamaan Estimasi Pelepasan Emisi Karbon (Gross CO2 Emissions)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Emisi_CO2_Total = Sum(Area_Loss_c * Faktor_Emisi_Biomassa_c)</w:t>
      </w:r>
    </w:p>
    <w:p>
      <w:pPr>
        <w:spacing w:before="40" w:after="120"/>
        <w:ind w:left="280"/>
      </w:pPr>
      <w:r>
        <w:rPr>
          <w:b/>
          <w:i/>
          <w:color w:val="333333"/>
          <w:sz w:val="16"/>
        </w:rPr>
        <w:t>Keterangan Variabel:</w:t>
        <w:br/>
      </w:r>
      <w:r>
        <w:rPr>
          <w:b/>
          <w:i w:val="0"/>
          <w:color w:val="1B5E20"/>
          <w:sz w:val="16"/>
        </w:rPr>
        <w:t xml:space="preserve">• Emisi_CO2_Total: </w:t>
      </w:r>
      <w:r>
        <w:rPr>
          <w:b w:val="0"/>
          <w:i w:val="0"/>
          <w:color w:val="444444"/>
          <w:sz w:val="16"/>
        </w:rPr>
        <w:t>Estimasi agregasi total emisi gas rumah kaca yang dilepaskan ke atmosfer akibat konversi tutupan (satuan: Megagrams CO2 / Mg CO2).</w:t>
        <w:br/>
      </w:r>
      <w:r>
        <w:rPr>
          <w:b/>
          <w:i w:val="0"/>
          <w:color w:val="1B5E20"/>
          <w:sz w:val="16"/>
        </w:rPr>
        <w:t xml:space="preserve">• Faktor_Emisi_Biomassa_c: </w:t>
      </w:r>
      <w:r>
        <w:rPr>
          <w:b w:val="0"/>
          <w:i w:val="0"/>
          <w:color w:val="444444"/>
          <w:sz w:val="16"/>
        </w:rPr>
        <w:t>Kandungan karbon rata-rata (above-ground &amp; below-ground biomass) per hektar pada koordinat c yang diamati.</w:t>
      </w:r>
    </w:p>
    <w:p>
      <w:pPr>
        <w:spacing w:after="100"/>
        <w:jc w:val="both"/>
      </w:pPr>
      <w:r>
        <w:rPr>
          <w:b w:val="0"/>
          <w:i w:val="0"/>
          <w:color w:val="222222"/>
          <w:sz w:val="19"/>
        </w:rPr>
        <w:t xml:space="preserve">Kalkulasi pengujian statistik dihitung menggunakan formulasi Matematis yang sama dengan Sub-Bab 1.2 dan 1.3, di mana variabel independen (X) adalah </w:t>
      </w:r>
      <w:r>
        <w:rPr>
          <w:b/>
          <w:i w:val="0"/>
          <w:color w:val="222222"/>
          <w:sz w:val="19"/>
        </w:rPr>
        <w:t>Investasi PMDN (Juta Rp)</w:t>
      </w:r>
      <w:r>
        <w:rPr>
          <w:b w:val="0"/>
          <w:i w:val="0"/>
          <w:color w:val="222222"/>
          <w:sz w:val="19"/>
        </w:rPr>
        <w:t xml:space="preserve"> dan variabel dependen (Y) adalah </w:t>
      </w:r>
      <w:r>
        <w:rPr>
          <w:b/>
          <w:i w:val="0"/>
          <w:color w:val="222222"/>
          <w:sz w:val="19"/>
        </w:rPr>
        <w:t>Deforestasi Komoditas (Hektar).</w:t>
      </w:r>
    </w:p>
    <w:p>
      <w:pPr>
        <w:spacing w:before="120" w:after="20"/>
      </w:pPr>
      <w:r>
        <w:rPr>
          <w:b/>
          <w:i/>
          <w:color w:val="2E7D32"/>
          <w:sz w:val="17"/>
        </w:rPr>
        <w:t>Persamaan: Persamaan Kategorisasi Nilai Ambang Batas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Investasi PMDN keseluruhan observasi panel (N=48).</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Tingkat alokasi konsesi dan dampaknya terhadap tutupan hutan dapat dilihat secara empiris melalui perbandingan luas konsesi baru di Daerah Sentra Tambang (Morowali &amp; Konawe) dengan wilayah non-sentra pada </w:t>
      </w:r>
      <w:r>
        <w:rPr>
          <w:b/>
          <w:i w:val="0"/>
          <w:color w:val="222222"/>
          <w:sz w:val="19"/>
        </w:rPr>
        <w:t>Tabel 1.7b</w:t>
      </w:r>
      <w:r>
        <w:rPr>
          <w:b w:val="0"/>
          <w:i w:val="0"/>
          <w:color w:val="222222"/>
          <w:sz w:val="19"/>
        </w:rPr>
        <w:t xml:space="preserve"> berikut:</w:t>
      </w:r>
    </w:p>
    <w:p>
      <w:pPr>
        <w:spacing w:before="120" w:after="40"/>
      </w:pPr>
      <w:r>
        <w:rPr>
          <w:b/>
          <w:i/>
          <w:color w:val="2E7D32"/>
          <w:sz w:val="17"/>
        </w:rPr>
        <w:t>Tabel 1.7b: Representasi Spasial Luas Konsesi Baru (Ha) di Daerah Sentra Tambang vs Non-Sentra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Sentra Tambang (Ha)</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Non-Sentra (Ha)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39,216.7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10,301.4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13,370.0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8,969.0</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12,515.8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0.0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121,742.9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57,722.2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15,634.7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22,336.0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32,458.3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29,509.9</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60,420.8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46,139.0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28,835.0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1,588.4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58,268.1</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7,859.4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52,138.7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16,418.2</w:t>
            </w:r>
          </w:p>
        </w:tc>
      </w:tr>
    </w:tbl>
    <w:p>
      <w:pPr>
        <w:spacing w:before="40" w:after="80"/>
      </w:pPr>
    </w:p>
    <w:p>
      <w:pPr>
        <w:spacing w:after="100"/>
        <w:jc w:val="both"/>
      </w:pPr>
      <w:r>
        <w:rPr>
          <w:b w:val="0"/>
          <w:i w:val="0"/>
          <w:color w:val="222222"/>
          <w:sz w:val="19"/>
        </w:rPr>
        <w:t xml:space="preserve">Terkait dengan hilangnya luasan hutan tersebut, pembedahan lebih lanjut berdasarkan aktor utama, luasan hutan primer, dan estimasi emisi karbon komoditas dapat dilihat pada </w:t>
      </w:r>
      <w:r>
        <w:rPr>
          <w:b/>
          <w:i w:val="0"/>
          <w:color w:val="222222"/>
          <w:sz w:val="19"/>
        </w:rPr>
        <w:t>Tabel 1.7c</w:t>
      </w:r>
      <w:r>
        <w:rPr>
          <w:b w:val="0"/>
          <w:i w:val="0"/>
          <w:color w:val="222222"/>
          <w:sz w:val="19"/>
        </w:rPr>
        <w:t xml:space="preserve"> berikut:</w:t>
      </w:r>
    </w:p>
    <w:p>
      <w:pPr>
        <w:spacing w:before="12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68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Ekspansi Komoditas (Tambang &amp;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Kehutanan (Logging)</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Kehilangan Hutan Primer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Estimasi Emisi Karbon Komoditas</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40" w:after="80"/>
      </w:pPr>
    </w:p>
    <w:p>
      <w:pPr>
        <w:spacing w:before="120" w:after="40"/>
      </w:pPr>
      <w:r>
        <w:rPr>
          <w:b/>
          <w:i/>
          <w:color w:val="2E7D32"/>
          <w:sz w:val="17"/>
        </w:rPr>
        <w:t>Tabel 1.7d: Konfigurasi Variabel Uji Chi-Square (Sub-bab 1.4)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Rupiah)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 / Deforestasi Komoditas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Tingginya realisasi investasi PMDN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realisasi investasi PMDN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(N=48)</w:t>
            </w:r>
          </w:p>
        </w:tc>
      </w:tr>
    </w:tbl>
    <w:p>
      <w:pPr>
        <w:spacing w:before="40" w:after="80"/>
      </w:pPr>
    </w:p>
    <w:p>
      <w:pPr>
        <w:spacing w:before="40" w:after="80"/>
      </w:pPr>
    </w:p>
    <w:p>
      <w:pPr>
        <w:spacing w:after="100"/>
        <w:jc w:val="both"/>
      </w:pPr>
      <w:r>
        <w:rPr>
          <w:b w:val="0"/>
          <w:i w:val="0"/>
          <w:color w:val="222222"/>
          <w:sz w:val="19"/>
        </w:rPr>
        <w:t xml:space="preserve">Tabel di bawah ini merangkum hasil pengujian statistik (Chi-Square) untuk semua kemungkinan kombinasi indikator antara Realisasi Investasi PMDN dan Dampak Ekologis pada panel data 2016-2023. Hasil tersebut ditampilkan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0.1530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0.0662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40" w:after="80"/>
      </w:pPr>
    </w:p>
    <w:p>
      <w:pPr>
        <w:spacing w:after="100"/>
        <w:jc w:val="both"/>
      </w:pPr>
      <w:r>
        <w:rPr>
          <w:b w:val="0"/>
          <w:i w:val="0"/>
          <w:color w:val="222222"/>
          <w:sz w:val="19"/>
        </w:rPr>
      </w:r>
    </w:p>
    <w:p>
      <w:pPr>
        <w:spacing w:before="160" w:after="40"/>
      </w:pPr>
      <w:r>
        <w:rPr>
          <w:b/>
          <w:i w:val="0"/>
          <w:color w:val="2E7D32"/>
          <w:sz w:val="19"/>
        </w:rPr>
        <w:t>E. Analisis Temuan Empiris: Efek Jeda Waktu (Time-Lagging)</w:t>
      </w:r>
    </w:p>
    <w:p>
      <w:pPr>
        <w:spacing w:after="100"/>
        <w:jc w:val="both"/>
      </w:pPr>
      <w:r>
        <w:rPr>
          <w:b w:val="0"/>
          <w:i w:val="0"/>
          <w:color w:val="222222"/>
          <w:sz w:val="19"/>
        </w:rPr>
        <w:t>Hasil pengujian seluruh skenario tabulasi silang PMDN mengungkap fenomena yang kompleks dalam alur investasi ekstraktif:</w:t>
      </w:r>
    </w:p>
    <w:p>
      <w:pPr>
        <w:spacing w:after="100"/>
        <w:jc w:val="both"/>
      </w:pPr>
      <w:r>
        <w:rPr>
          <w:b/>
          <w:i w:val="0"/>
          <w:color w:val="222222"/>
          <w:sz w:val="19"/>
        </w:rPr>
        <w:t xml:space="preserve">1. </w:t>
      </w:r>
      <w:r>
        <w:rPr>
          <w:b/>
          <w:i w:val="0"/>
          <w:color w:val="222222"/>
          <w:sz w:val="19"/>
        </w:rPr>
        <w:t xml:space="preserve">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w:t>
      </w:r>
      <w:r>
        <w:rPr>
          <w:b/>
          <w:i w:val="0"/>
          <w:color w:val="222222"/>
          <w:sz w:val="19"/>
        </w:rPr>
        <w:t xml:space="preserve">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w:t>
      </w:r>
      <w:r>
        <w:rPr>
          <w:b/>
          <w:i w:val="0"/>
          <w:color w:val="222222"/>
          <w:sz w:val="19"/>
        </w:rPr>
        <w:t xml:space="preserve">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2E7D32"/>
          <w:sz w:val="22"/>
        </w:rPr>
        <w:t>1.5 PELABUHAN EKSPOR: KE MANA NIKEL SULAWESI DIKIRIM?</w:t>
      </w:r>
    </w:p>
    <w:p>
      <w:pPr>
        <w:spacing w:before="160" w:after="40"/>
      </w:pPr>
      <w:r>
        <w:rPr>
          <w:b/>
          <w:i w:val="0"/>
          <w:color w:val="2E7D32"/>
          <w:sz w:val="19"/>
        </w:rPr>
        <w:t>A. Pengantar &amp; Kerangka Narasi</w:t>
      </w:r>
    </w:p>
    <w:p>
      <w:pPr>
        <w:spacing w:after="10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dari pesisir Sulawesi menuju negara tujuan utama seperti Tiongkok dan Jepang.</w:t>
      </w:r>
    </w:p>
    <w:p>
      <w:pPr>
        <w:spacing w:before="160" w:after="40"/>
      </w:pPr>
      <w:r>
        <w:rPr>
          <w:b/>
          <w:i w:val="0"/>
          <w:color w:val="2E7D32"/>
          <w:sz w:val="19"/>
        </w:rPr>
        <w:t>B. Alur Logika Metodologis (Validasi Silang)</w:t>
      </w:r>
    </w:p>
    <w:p>
      <w:pPr>
        <w:spacing w:after="100"/>
        <w:jc w:val="both"/>
      </w:pPr>
      <w:r>
        <w:rPr>
          <w:b w:val="0"/>
          <w:i w:val="0"/>
          <w:color w:val="222222"/>
          <w:sz w:val="19"/>
        </w:rPr>
        <w:t xml:space="preserve">Verifikasi titik pelabuhan dan terminal khusus ekspor nikel dilakukan melalui protokol triangulasi informasi publik sebagaimana divisualisasikan pada </w:t>
      </w:r>
      <w:r>
        <w:rPr>
          <w:b/>
          <w:i w:val="0"/>
          <w:color w:val="222222"/>
          <w:sz w:val="19"/>
        </w:rPr>
        <w:t>Bagan Alur 1.5</w:t>
      </w:r>
      <w:r>
        <w:rPr>
          <w:b w:val="0"/>
          <w:i w:val="0"/>
          <w:color w:val="222222"/>
          <w:sz w:val="19"/>
        </w:rPr>
        <w:t xml:space="preserve"> berikut:</w:t>
      </w:r>
    </w:p>
    <w:p>
      <w:pPr>
        <w:spacing w:before="120" w:after="40"/>
      </w:pPr>
      <w:r>
        <w:rPr>
          <w:b/>
          <w:i/>
          <w:color w:val="2E7D32"/>
          <w:sz w:val="17"/>
        </w:rPr>
        <w:t>Bagan Alur 1.5: Alur Logika Metodologis Validasi Silang (OSINT) Pelabuhan</w:t>
      </w:r>
    </w:p>
    <w:p>
      <w:pPr>
        <w:jc w:val="center"/>
      </w:pPr>
      <w:r>
        <w:drawing>
          <wp:inline xmlns:a="http://schemas.openxmlformats.org/drawingml/2006/main" xmlns:pic="http://schemas.openxmlformats.org/drawingml/2006/picture">
            <wp:extent cx="5400000" cy="1563861"/>
            <wp:docPr id="7" name="Picture 7"/>
            <wp:cNvGraphicFramePr>
              <a:graphicFrameLocks noChangeAspect="1"/>
            </wp:cNvGraphicFramePr>
            <a:graphic>
              <a:graphicData uri="http://schemas.openxmlformats.org/drawingml/2006/picture">
                <pic:pic>
                  <pic:nvPicPr>
                    <pic:cNvPr id="0" name="mermaid_flowchart_1_5.png"/>
                    <pic:cNvPicPr/>
                  </pic:nvPicPr>
                  <pic:blipFill>
                    <a:blip r:embed="rId15"/>
                    <a:stretch>
                      <a:fillRect/>
                    </a:stretch>
                  </pic:blipFill>
                  <pic:spPr>
                    <a:xfrm>
                      <a:off x="0" y="0"/>
                      <a:ext cx="5400000" cy="1563861"/>
                    </a:xfrm>
                    <a:prstGeom prst="rect"/>
                  </pic:spPr>
                </pic:pic>
              </a:graphicData>
            </a:graphic>
          </wp:inline>
        </w:drawing>
      </w:r>
    </w:p>
    <w:p>
      <w:pPr>
        <w:spacing w:after="100"/>
        <w:jc w:val="both"/>
      </w:pPr>
      <w:r>
        <w:rPr>
          <w:b w:val="0"/>
          <w:i w:val="0"/>
          <w:color w:val="222222"/>
          <w:sz w:val="19"/>
        </w:rPr>
        <w:t>Detail dari keempat sumber informasi validasi silang (triangulasi) publik adalah sebagai berikut:</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before="160" w:after="40"/>
      </w:pPr>
      <w:r>
        <w:rPr>
          <w:b/>
          <w:i w:val="0"/>
          <w:color w:val="2E7D32"/>
          <w:sz w:val="19"/>
        </w:rPr>
        <w:t>C. Matriks Hasil Uji Empiris: Inventarisasi 6 Simpul Pelabuhan</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IMIP Morowali</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GNI Morowali Utara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VDNI Konawe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OSS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Pomalaa (ANTAM)</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Sorowako (Vale)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240" w:after="80"/>
        <w:pBdr>
          <w:bottom w:val="single" w:sz="6" w:space="2" w:color="2E7D32"/>
        </w:pBdr>
      </w:pPr>
      <w:r>
        <w:rPr>
          <w:b/>
          <w:i w:val="0"/>
          <w:color w:val="2E7D32"/>
          <w:sz w:val="22"/>
        </w:rPr>
        <w:t>1.6 PETA JALUR DISTRIBUSI LOGISTIK NIKEL SULAWESI</w:t>
      </w:r>
    </w:p>
    <w:p>
      <w:pPr>
        <w:spacing w:before="160" w:after="40"/>
      </w:pPr>
      <w:r>
        <w:rPr>
          <w:b/>
          <w:i w:val="0"/>
          <w:color w:val="2E7D32"/>
          <w:sz w:val="19"/>
        </w:rPr>
        <w:t>A. Formulasi Matematis: Kurva Parametrik Alur Pelayaran</w:t>
      </w:r>
    </w:p>
    <w:p>
      <w:pPr>
        <w:spacing w:after="100"/>
        <w:jc w:val="both"/>
      </w:pPr>
      <w:r>
        <w:rPr>
          <w:b w:val="0"/>
          <w:i w:val="0"/>
          <w:color w:val="222222"/>
          <w:sz w:val="19"/>
        </w:rPr>
        <w:t>Pemetaan alur pelayaran internasional dimodelkan menggunakan formulasi kurva parametrik lengkung (*Bézier Curve*) untuk merepresentasikan alur laut kepulauan dan rute maritim internasional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60" w:after="40"/>
      </w:pPr>
      <w:r>
        <w:rPr>
          <w:b/>
          <w:i w:val="0"/>
          <w:color w:val="2E7D32"/>
          <w:sz w:val="19"/>
        </w:rPr>
        <w:t>B. Interpretasi Spasial Industri: Rantai Pasok Global</w:t>
      </w:r>
    </w:p>
    <w:p>
      <w:pPr>
        <w:spacing w:after="100"/>
        <w:jc w:val="both"/>
      </w:pPr>
      <w:r>
        <w:rPr>
          <w:b w:val="0"/>
          <w:i w:val="0"/>
          <w:color w:val="222222"/>
          <w:sz w:val="19"/>
        </w:rPr>
        <w:t>Visualisasi jalur pelayaran ini mengonfirmasi temuan struktural pada sub-bab sebelumnya, di mana eksploitasi ekstraktif sepenuhnya berorientasi ekspor:</w:t>
      </w:r>
    </w:p>
    <w:p>
      <w:pPr>
        <w:spacing w:after="100"/>
        <w:jc w:val="both"/>
      </w:pPr>
      <w:r>
        <w:rPr>
          <w:b/>
          <w:i w:val="0"/>
          <w:color w:val="222222"/>
          <w:sz w:val="19"/>
        </w:rPr>
        <w:t xml:space="preserve">1. </w:t>
      </w:r>
      <w:r>
        <w:rPr>
          <w:b/>
          <w:i w:val="0"/>
          <w:color w:val="222222"/>
          <w:sz w:val="19"/>
        </w:rPr>
        <w:t xml:space="preserve">Infrastruktur Raksasa Penunjang Ekspor: </w:t>
      </w:r>
      <w:r>
        <w:rPr>
          <w:b w:val="0"/>
          <w:i w:val="0"/>
          <w:color w:val="222222"/>
          <w:sz w:val="19"/>
        </w:rPr>
        <w:t>Keenam simpul pelabuhan melayani kapal dengan kapasitas hingga 50.000 DWT, memastikan arus bahan baku mentah (raw materials) terus mengalir ke pusat-pusat industri global, terutama Tiongkok.</w:t>
        <w:br/>
      </w:r>
      <w:r>
        <w:rPr>
          <w:b/>
          <w:i w:val="0"/>
          <w:color w:val="222222"/>
          <w:sz w:val="19"/>
        </w:rPr>
        <w:t xml:space="preserve">2. </w:t>
      </w:r>
      <w:r>
        <w:rPr>
          <w:b/>
          <w:i w:val="0"/>
          <w:color w:val="222222"/>
          <w:sz w:val="19"/>
        </w:rPr>
        <w:t xml:space="preserve">Eksternalitas bagi Ekosistem Pesisir: </w:t>
      </w:r>
      <w:r>
        <w:rPr>
          <w:b w:val="0"/>
          <w:i w:val="0"/>
          <w:color w:val="222222"/>
          <w:sz w:val="19"/>
        </w:rPr>
        <w:t>Pembangunan pelabuhan samudera di pesisir Morowali dan Konawe memicu fragmentasi ekosistem laut, perusakan terumbu karang, dan konflik ruang dengan nelayan tangkap tradisional.</w:t>
      </w:r>
    </w:p>
    <w:p>
      <w:pPr>
        <w:spacing w:before="240" w:after="80"/>
        <w:pBdr>
          <w:bottom w:val="single" w:sz="6" w:space="2" w:color="2E7D32"/>
        </w:pBdr>
      </w:pPr>
      <w:r>
        <w:rPr>
          <w:b/>
          <w:i w:val="0"/>
          <w:color w:val="2E7D32"/>
          <w:sz w:val="22"/>
        </w:rPr>
        <w:t>1.7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Energy Monitor (GEM)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Pengolahan &amp; Pemurnian (Smelter)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&amp; Basis Data Industri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Investasi / BKPM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Menurut 17 Lapangan Usaha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Provinsi se-Sulawesi)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Kabupaten se-Sulteng)</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Kehilangan Hutan Komoditas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Perubahan Tutupan Lahan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 Univ. of Maryland)</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Dermaga &amp; Terminal Khusus Ekspor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KNKT Kemenhub, Perpres PSN, Laporan Korporasi</w:t>
            </w:r>
          </w:p>
        </w:tc>
      </w:tr>
    </w:tbl>
    <w:p>
      <w:pPr>
        <w:spacing w:before="40" w:after="80"/>
      </w:pPr>
    </w:p>
    <w:p>
      <w:pPr>
        <w:spacing w:before="240" w:after="80"/>
        <w:pBdr>
          <w:bottom w:val="single" w:sz="6" w:space="2" w:color="2E7D32"/>
        </w:pBdr>
      </w:pPr>
      <w:r>
        <w:rPr>
          <w:b/>
          <w:i w:val="0"/>
          <w:color w:val="2E7D32"/>
          <w:sz w:val="22"/>
        </w:rPr>
        <w:t>1.7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