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1.1 Konteks Makro: Breakdown PDRB per Komoditas</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1.2 Konsentrasi Kawasan Industri &amp; PLTU Captive</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1.3 Tren Pertumbuhan Izin Tambang Baru &amp; Uji Signifikansi Statistik</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tbl>
      <w:tblPr>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Komponen Uji</w:t>
            </w:r>
          </w:p>
        </w:tc>
        <w:tc>
          <w:tcPr>
            <w:tcW w:type="dxa" w:w="379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&amp; Parameter (Sub-bab 1.3)</w:t>
            </w:r>
          </w:p>
        </w:tc>
        <w:tc>
          <w:tcPr>
            <w:tcW w:type="dxa" w:w="379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&amp; Parameter (Sub-bab 1.4)</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Independen (X)</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Jumlah Izin Baru (IUP) / Luas Konsesi Baru (Ha)</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Sektor Ekstraktif (Juta / Triliun Rp)</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Dependen (Y)</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Deforestasi Komoditas (Ha) / Total Deforestasi Alam Primer (Ha)</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Total Deforestasi Alam (Ha) / Deforestasi Komoditas (Ha)</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Nol (H₀)</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Tingkat penerbitan izin/luas konsesi tidak berhubungan dengan laju deforestasi.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Tingginya realisasi investasi PMDN tidak berhubungan dengan laju deforestasi.</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Alternatif (H₁)</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penerbitan izin dengan tingginya laju deforestasi.</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realisasi investasi PMDN dengan laju deforestasi.</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Decision Rule (Alpha 5%)</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H₀ (terbukti signifikan bahwa ekspansi perizinan mendorong deforestasi).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H₀ (terbukti signifikan bahwa realisasi investasi mendorong deforestasi).</w:t>
            </w:r>
          </w:p>
        </w:tc>
      </w:tr>
      <w:tr>
        <w:tc>
          <w:tcPr>
            <w:tcW w:type="dxa" w:w="204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Threshold Kategori (Median)</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(N=60): X ≥ 2,0 izin; Y ≥ 10.961,8 Ha (Kategori High vs. Low).</w:t>
            </w:r>
          </w:p>
        </w:tc>
        <w:tc>
          <w:tcPr>
            <w:tcW w:type="dxa" w:w="379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(N=48): X &gt; Rp3.146,4 Miliar; Y ≥ 10.451,7 Ha (Kategori High vs. Low).</w:t>
            </w:r>
          </w:p>
        </w:tc>
      </w:tr>
      <w:tr>
        <w:tc>
          <w:tcPr>
            <w:tcW w:type="dxa" w:w="204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Orientasi Odds Ratio (OR)</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(a × d) / (b × c) dengan a = Izin Tinggi &amp; Deforestasi Tinggi; mengukur risiko deforestasi tinggi pada kelompok penerbitan izin tinggi.</w:t>
            </w:r>
          </w:p>
        </w:tc>
        <w:tc>
          <w:tcPr>
            <w:tcW w:type="dxa" w:w="379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(a × d) / (b × c) dengan a = Investasi Tinggi &amp; Deforestasi Tinggi; mengukur risiko deforestasi tinggi pada kelompok realisasi investasi tinggi.</w:t>
            </w:r>
          </w:p>
        </w:tc>
      </w:tr>
    </w:tbl>
    <w:p>
      <w:pPr>
        <w:spacing w:before="0" w:after="60"/>
      </w:pPr>
    </w:p>
    <w:p>
      <w:pPr>
        <w:keepNext/>
        <w:spacing w:before="140" w:after="40"/>
      </w:pPr>
      <w:r>
        <w:rPr>
          <w:b/>
          <w:i w:val="0"/>
          <w:color w:val="2E7D32"/>
          <w:sz w:val="18"/>
        </w:rPr>
        <w:t>1.4 Analisis Realisasi Investasi PMDN dan Dampak Terhadap Tutupan Hutan</w:t>
      </w:r>
    </w:p>
    <w:p>
      <w:pPr>
        <w:spacing w:after="80" w:line="276" w:lineRule="auto"/>
        <w:jc w:val="both"/>
      </w:pPr>
      <w:r>
        <w:rPr>
          <w:b w:val="0"/>
          <w:i w:val="0"/>
          <w:color w:val="222222"/>
          <w:sz w:val="17"/>
        </w:rPr>
        <w:t>Analisis arus modal investasi PMDN mengevaluasi elastisitas suntikan modal terhadap laju alih fungsi hutan dan emisi komoditas. Formulasi pengujian inferensial dan parameter kategorisasi tabulasi silang disinkronkan secara terpadu pada matriks konfigurasi di atas dengan evaluasi efek jeda waktu (time-lag) ekspansi fisik di lapangan.</w:t>
      </w:r>
    </w:p>
    <w:p>
      <w:pPr>
        <w:keepNext/>
        <w:spacing w:before="140" w:after="40"/>
      </w:pPr>
      <w:r>
        <w:rPr>
          <w:b/>
          <w:i w:val="0"/>
          <w:color w:val="2E7D32"/>
          <w:sz w:val="18"/>
        </w:rPr>
        <w:t>1.5 Pelabuhan Ekspor &amp; Peta Jalur Distribusi Logistik Nikel Sulawesi</w:t>
      </w:r>
    </w:p>
    <w:p>
      <w:pPr>
        <w:spacing w:after="80" w:line="276" w:lineRule="auto"/>
        <w:jc w:val="both"/>
      </w:pPr>
      <w:r>
        <w:rPr>
          <w:b w:val="0"/>
          <w:i w:val="0"/>
          <w:color w:val="222222"/>
          <w:sz w:val="17"/>
        </w:rPr>
        <w:t>Simpul logistik pelabuhan ekspor diverifikasi melalui triangulasi laporan investigasi keselamatan transportasi maritim (KNKT), penetapan regulasi Proyek Strategis Nasional (PSN), dan laporan operasional korporasi. Alur pelayaran pengangkutan curah nikel menuju pasar internasional dimodelkan secara spasial menggunakan persamaan kurva Bézier kuadratik di atas koordinat bola bumi guna memetakan jalur lalu lintas maritim yang rentan kecelakaan tongkang.</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luaran visual terstandarisasi sebagaimana dirangkum pada matriks berikut:</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243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300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c>
          <w:tcPr>
            <w:tcW w:type="dxa" w:w="283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Luaran Visual / Statistik</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Tren Pertumbuhan</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Small Multiples Bar Chart, Tabel Kontribusi Sektor</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Sebaran Smelter, Stacked Bar Kapasitas MW</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Area Chart Akumulasi Izin &amp; Luas Konsesi</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Matriks Tabel Kontinjensi 2×2, Ringkasan Inferensial</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1.5–1.6</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Logistik &amp; Rantai Pasok</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Dokumen Resmi, Kurva Parametrik Bézier</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Alur Pelayaran Ekspor, Matriks Insiden Maritim</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kerja operasional metodologi Bab 1 berjalan secara sekuensial melalui empat fase sistematis:</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Fase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Tahapan Metodologis</w:t>
            </w:r>
          </w:p>
        </w:tc>
        <w:tc>
          <w:tcPr>
            <w:tcW w:type="dxa" w:w="5953"/>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Rincian Operasional &amp; Bahan Analisis</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Akuisisi &amp; Kurasi Data</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Pengumpulan basis data resmi terbuka: BPS (PDRB &amp; Keuangan Daerah), ESDM MODI (IUP &amp; Konsesi), GEM (PLTU), BKPM (PMDN), GFW (Deforestasi), KNKT (Logistik).</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&amp; Spasial</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Standardisasi klasifikasi ekonomi berbasis mandat regulasi hilirisasi (UU 3/2020 &amp; Perpres 112/2022) menjadi 3 klaster makro serta dekomposisi data ke level kabupaten.</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Pengujian Statistik Inferensial</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Konstruksi tabel kontinjensi 2×2 berbasis ambang median (Panel N=60), uji independensi Chi-Square (χ²), perhitungan rasio peluang risiko (Odds Ratio), dan uji asosiasi.</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IV</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&amp; Sintesis Kebijakan</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geospasial alur pasok maritim dengan kurva Bézier, sintesis disparitas ekonomi makro, serta perumusan bukti empiris dominasi ekstraktif bagi dokumen D3TLH.</w:t>
            </w:r>
          </w:p>
        </w:tc>
      </w:tr>
    </w:tbl>
    <w:p>
      <w:pPr>
        <w:spacing w:before="0" w:after="60"/>
      </w:pP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p>
      <w:pPr>
        <w:spacing w:before="60" w:after="100"/>
        <w:ind w:left="160"/>
        <w:pBdr>
          <w:left w:val="single" w:sz="12" w:space="6" w:color="2E7D32"/>
        </w:pBdr>
        <w:shd w:val="clear" w:color="auto" w:fill="F1F8E9"/>
      </w:pPr>
      <w:r>
        <w:rPr>
          <w:b w:val="0"/>
          <w:i/>
          <w:color w:val="555555"/>
          <w:sz w:val="16"/>
        </w:rPr>
        <w:t>Catatan Metodologis: Seluruh analisis statistik kuantitatif dalam dokumen ini dijalankan pada matriks data panel provinsi-tahun (N = 60 observasi) dan kabupaten sentra industri. Angka komputasi dan sebaran spasial terperinci terintegrasi penuh pada naskah laporan Bab 1 dan antarmuka interaktif dashboard CELIOS.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