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7D32"/>
          <w:sz w:val="16"/>
        </w:rPr>
        <w:t>CELIOS - CENTER OF ECONOMIC AND LAW STUDIES  |  LAPORAN RISET METODOLOGI D3TLH</w:t>
      </w:r>
    </w:p>
    <w:p>
      <w:pPr>
        <w:spacing w:before="280" w:after="120"/>
        <w:pBdr>
          <w:bottom w:val="single" w:sz="12" w:space="2" w:color="1B5E20"/>
        </w:pBdr>
      </w:pPr>
      <w:r>
        <w:rPr>
          <w:b/>
          <w:i w:val="0"/>
          <w:color w:val="1B5E20"/>
          <w:sz w:val="26"/>
        </w:rPr>
        <w:t>BAB VII: METODOLOGI ANALISIS KEGAGALAN TATA KELOLA - D3TLH DALAM SISTEM PERIZINAN</w:t>
      </w:r>
    </w:p>
    <w:p>
      <w:pPr>
        <w:spacing w:after="100"/>
        <w:jc w:val="both"/>
      </w:pPr>
      <w:r>
        <w:rPr>
          <w:b w:val="0"/>
          <w:i w:val="0"/>
          <w:color w:val="222222"/>
          <w:sz w:val="19"/>
        </w:rPr>
        <w:t xml:space="preserve">Dokumen laporan metodologi ini menyajikan kerangka ilmiah, prosedur pengolahan data, dan pembacaan empiris yang dioperasionalkan pada </w:t>
      </w:r>
      <w:r>
        <w:rPr>
          <w:b/>
          <w:i w:val="0"/>
          <w:color w:val="222222"/>
          <w:sz w:val="19"/>
        </w:rPr>
        <w:t>Bab 7: Kegagalan Tata Kelola - D3TLH Dalam Sistem Perizinan</w:t>
      </w:r>
      <w:r>
        <w:rPr>
          <w:b w:val="0"/>
          <w:i w:val="0"/>
          <w:color w:val="222222"/>
          <w:sz w:val="19"/>
        </w:rPr>
        <w:t xml:space="preserve"> dalam studi Daya Dukung dan Daya Tampung Lingkungan Hidup (D3TLH) Sulawesi.</w:t>
      </w:r>
    </w:p>
    <w:p>
      <w:pPr>
        <w:spacing w:before="240" w:after="80"/>
        <w:pBdr>
          <w:bottom w:val="single" w:sz="6" w:space="2" w:color="2E7D32"/>
        </w:pBdr>
      </w:pPr>
      <w:r>
        <w:rPr>
          <w:b/>
          <w:i w:val="0"/>
          <w:color w:val="2E7D32"/>
          <w:sz w:val="22"/>
        </w:rPr>
        <w:t>7.1 PEMBUKTIAN EMPIRIS: STATUS EKOLOGIS VS PENERBITAN IZIN</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Izin: data/processed/sulawesi_izin_baru_per_tahun.csv dan data/processed/sulawesi_izin_raw_details.csv (MODI ESDM); Data Deforestasi: data/processed/sulawesi_gfw_master_1_dekade_2014_2023_v3.csv (GFW). Visualisasi dashboard menampilkan Matriks Kepatuhan D3TLH (Seharusnya vs Kenyataan per status Aman/Tertekan/Kritis) beserta Tabel Irisan daftar perusahaan penerima izin di zona kritis.</w:t>
      </w:r>
    </w:p>
    <w:p>
      <w:pPr>
        <w:spacing w:before="160" w:after="40"/>
      </w:pPr>
      <w:r>
        <w:rPr>
          <w:b/>
          <w:i w:val="0"/>
          <w:color w:val="2E7D32"/>
          <w:sz w:val="19"/>
        </w:rPr>
        <w:t>A. Pengantar &amp; Kerangka Narasi</w:t>
      </w:r>
    </w:p>
    <w:p>
      <w:pPr>
        <w:spacing w:after="100"/>
        <w:jc w:val="both"/>
      </w:pPr>
      <w:r>
        <w:rPr>
          <w:b w:val="0"/>
          <w:i w:val="0"/>
          <w:color w:val="222222"/>
          <w:sz w:val="19"/>
        </w:rPr>
        <w:t xml:space="preserve">Daya Tampung dan Daya Dukung Lingkungan Hidup (D3TLH) dirancang sebagai instrumen pencegahan dan pengatur batas pengaman ekologis (ecological safeguard). Secara metodologis, penerbitan izin baru sepatutnya mempertimbangkan indikator daya dukung lingkungan guna mengantisipasi degradasi ekosistem. </w:t>
      </w:r>
      <w:r>
        <w:rPr>
          <w:b w:val="0"/>
          <w:i w:val="0"/>
          <w:color w:val="222222"/>
          <w:sz w:val="19"/>
        </w:rPr>
        <w:t>Penyandingan data deforestasi tahunan dari Global Forest Watch (GFW) dan data perizinan pertambangan dari Minerba One Data Indonesia (MODI) Kementerian ESDM menunjukkan bahwa penerbitan izin usaha pertambangan baru tetap tercatat pada kurun waktu ketika perubahan tutupan hutan meningkat, terlihat pada tren di wilayah Sulawesi Tengah dan Tenggara periode 2014-2023.</w:t>
      </w:r>
    </w:p>
    <w:p>
      <w:pPr>
        <w:spacing w:after="100"/>
        <w:jc w:val="both"/>
      </w:pPr>
      <w:r>
        <w:rPr>
          <w:b w:val="0"/>
          <w:i w:val="0"/>
          <w:color w:val="222222"/>
          <w:sz w:val="19"/>
        </w:rPr>
        <w:t>Kondisi ini menggarisbawahi pentingnya penguatan fungsi dokumen AMDAL, D3TLH, dan KLHS agar menjadi pertimbangan utama yang mengikat dalam pengambilan keputusan perizinan, demi menjaga keberlanjutan lingkungan dan kehidupan masyarakat sekitar.</w:t>
      </w:r>
    </w:p>
    <w:p>
      <w:pPr>
        <w:spacing w:before="160" w:after="40"/>
      </w:pPr>
      <w:r>
        <w:rPr>
          <w:b/>
          <w:i w:val="0"/>
          <w:color w:val="2E7D32"/>
          <w:sz w:val="19"/>
        </w:rPr>
        <w:t>B. Alur Logika Metodologis Evaluasi Kepatuhan D3TLH (Rule-based Categorization)</w:t>
      </w:r>
    </w:p>
    <w:p>
      <w:pPr>
        <w:spacing w:after="100"/>
        <w:jc w:val="both"/>
      </w:pPr>
      <w:r>
        <w:rPr>
          <w:b w:val="0"/>
          <w:i w:val="0"/>
          <w:color w:val="222222"/>
          <w:sz w:val="19"/>
        </w:rPr>
        <w:t xml:space="preserve">Kerangka agregasi berbasis aturan untuk membedah ketidaksesuaian antara status kerusakan lingkungan dengan keputusan administratif perizinan diilustrasikan pada </w:t>
      </w:r>
      <w:r>
        <w:rPr>
          <w:b/>
          <w:i w:val="0"/>
          <w:color w:val="222222"/>
          <w:sz w:val="19"/>
        </w:rPr>
        <w:t>Bagan Alur 7.1</w:t>
      </w:r>
      <w:r>
        <w:rPr>
          <w:b w:val="0"/>
          <w:i w:val="0"/>
          <w:color w:val="222222"/>
          <w:sz w:val="19"/>
        </w:rPr>
        <w:t xml:space="preserve"> berikut. Sub-bab ini tidak menggunakan uji inferensial Chi-Square, melainkan Compliance Modeling deskriptif dengan binning persentil tiga kelas.</w:t>
      </w:r>
    </w:p>
    <w:p>
      <w:pPr>
        <w:spacing w:before="120" w:after="40"/>
      </w:pPr>
      <w:r>
        <w:rPr>
          <w:b/>
          <w:i/>
          <w:color w:val="2E7D32"/>
          <w:sz w:val="17"/>
        </w:rPr>
        <w:t>Bagan Alur 7.1: Alur Logika Analisis Evaluasi Kepatuhan D3TLH (Rule-based Categorization)</w:t>
      </w:r>
    </w:p>
    <w:p>
      <w:pPr>
        <w:jc w:val="center"/>
      </w:pPr>
      <w:r>
        <w:drawing>
          <wp:inline xmlns:a="http://schemas.openxmlformats.org/drawingml/2006/main" xmlns:pic="http://schemas.openxmlformats.org/drawingml/2006/picture">
            <wp:extent cx="5400000" cy="935924"/>
            <wp:docPr id="1" name="Picture 1"/>
            <wp:cNvGraphicFramePr>
              <a:graphicFrameLocks noChangeAspect="1"/>
            </wp:cNvGraphicFramePr>
            <a:graphic>
              <a:graphicData uri="http://schemas.openxmlformats.org/drawingml/2006/picture">
                <pic:pic>
                  <pic:nvPicPr>
                    <pic:cNvPr id="0" name="mermaid_flowchart_7_1.png"/>
                    <pic:cNvPicPr/>
                  </pic:nvPicPr>
                  <pic:blipFill>
                    <a:blip r:embed="rId9"/>
                    <a:stretch>
                      <a:fillRect/>
                    </a:stretch>
                  </pic:blipFill>
                  <pic:spPr>
                    <a:xfrm>
                      <a:off x="0" y="0"/>
                      <a:ext cx="5400000" cy="935924"/>
                    </a:xfrm>
                    <a:prstGeom prst="rect"/>
                  </pic:spPr>
                </pic:pic>
              </a:graphicData>
            </a:graphic>
          </wp:inline>
        </w:drawing>
      </w:r>
    </w:p>
    <w:p>
      <w:pPr>
        <w:spacing w:before="160" w:after="40"/>
      </w:pPr>
      <w:r>
        <w:rPr>
          <w:b/>
          <w:i w:val="0"/>
          <w:color w:val="2E7D32"/>
          <w:sz w:val="19"/>
        </w:rPr>
        <w:t>C. Formulasi Matematis: Ambang Persentil, Klasifikasi Status, dan Kuantifikasi Pelanggaran</w:t>
      </w:r>
    </w:p>
    <w:p>
      <w:pPr>
        <w:spacing w:after="100"/>
        <w:jc w:val="both"/>
      </w:pPr>
      <w:r>
        <w:rPr>
          <w:b w:val="0"/>
          <w:i w:val="0"/>
          <w:color w:val="222222"/>
          <w:sz w:val="19"/>
        </w:rPr>
        <w:t>Kuantifikasi status daya dukung dan pelanggaran ekologis dihitung menggunakan sistem formulasi matematis berikut:</w:t>
      </w:r>
    </w:p>
    <w:p>
      <w:pPr>
        <w:spacing w:before="120" w:after="20"/>
      </w:pPr>
      <w:r>
        <w:rPr>
          <w:b/>
          <w:i/>
          <w:color w:val="2E7D32"/>
          <w:sz w:val="17"/>
        </w:rPr>
        <w:t>Persamaan: Persamaan Ambang Batas Persentil Distribusi Deforestasi</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Ambang_Tertekan = Persentil_33 ( D_p,t )   ;   Ambang_Kritis = Persentil_66 ( D_p,t )</w:t>
      </w:r>
    </w:p>
    <w:p>
      <w:pPr>
        <w:spacing w:after="120"/>
        <w:ind w:left="280"/>
      </w:pPr>
      <w:r>
        <w:rPr>
          <w:b/>
          <w:i/>
          <w:color w:val="333333"/>
          <w:sz w:val="16"/>
        </w:rPr>
        <w:t>Keterangan Variabel:</w:t>
        <w:br/>
      </w:r>
      <w:r>
        <w:rPr>
          <w:b/>
          <w:i w:val="0"/>
          <w:color w:val="1B5E20"/>
          <w:sz w:val="16"/>
        </w:rPr>
        <w:t xml:space="preserve">- D_p,t: </w:t>
      </w:r>
      <w:r>
        <w:rPr>
          <w:b w:val="0"/>
          <w:i w:val="0"/>
          <w:color w:val="444444"/>
          <w:sz w:val="16"/>
        </w:rPr>
        <w:t>Nilai Total Deforestasi Alam (Hektar) pada provinsi p dan tahun t (basis status wilayah).</w:t>
        <w:br/>
      </w:r>
      <w:r>
        <w:rPr>
          <w:b/>
          <w:i w:val="0"/>
          <w:color w:val="1B5E20"/>
          <w:sz w:val="16"/>
        </w:rPr>
        <w:t xml:space="preserve">- Ambang_Tertekan: </w:t>
      </w:r>
      <w:r>
        <w:rPr>
          <w:b w:val="0"/>
          <w:i w:val="0"/>
          <w:color w:val="444444"/>
          <w:sz w:val="16"/>
        </w:rPr>
        <w:t>Persentil ke-33 distribusi panel: 12,897.8 Ha.</w:t>
        <w:br/>
      </w:r>
      <w:r>
        <w:rPr>
          <w:b/>
          <w:i w:val="0"/>
          <w:color w:val="1B5E20"/>
          <w:sz w:val="16"/>
        </w:rPr>
        <w:t xml:space="preserve">- Ambang_Kritis: </w:t>
      </w:r>
      <w:r>
        <w:rPr>
          <w:b w:val="0"/>
          <w:i w:val="0"/>
          <w:color w:val="444444"/>
          <w:sz w:val="16"/>
        </w:rPr>
        <w:t>Persentil ke-66 distribusi panel: 26,453.0 Ha.</w:t>
      </w:r>
    </w:p>
    <w:p>
      <w:pPr>
        <w:spacing w:before="120" w:after="20"/>
      </w:pPr>
      <w:r>
        <w:rPr>
          <w:b/>
          <w:i/>
          <w:color w:val="2E7D32"/>
          <w:sz w:val="17"/>
        </w:rPr>
        <w:t>Persamaan: Persamaan Klasifikasi Status Daya Dukung (Fungsi Piecewise 3 Kelas)</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Status(x) = 'Aman' , jika x ≤ P33   |   'Tertekan' , jika P33 &lt; x ≤ P66   |   'Kritis' , jika x &gt; P66</w:t>
      </w:r>
    </w:p>
    <w:p>
      <w:pPr>
        <w:spacing w:after="120"/>
        <w:ind w:left="280"/>
      </w:pPr>
      <w:r>
        <w:rPr>
          <w:b/>
          <w:i/>
          <w:color w:val="333333"/>
          <w:sz w:val="16"/>
        </w:rPr>
        <w:t>Keterangan Variabel:</w:t>
        <w:br/>
      </w:r>
      <w:r>
        <w:rPr>
          <w:b/>
          <w:i w:val="0"/>
          <w:color w:val="1B5E20"/>
          <w:sz w:val="16"/>
        </w:rPr>
        <w:t xml:space="preserve">- Status(x): </w:t>
      </w:r>
      <w:r>
        <w:rPr>
          <w:b w:val="0"/>
          <w:i w:val="0"/>
          <w:color w:val="444444"/>
          <w:sz w:val="16"/>
        </w:rPr>
        <w:t>Klasifikasi tiap observasi provinsi-tahun (N=60) ke dalam tiga kelas status daya dukung lingkungan.</w:t>
      </w:r>
    </w:p>
    <w:p>
      <w:pPr>
        <w:spacing w:before="120" w:after="20"/>
      </w:pPr>
      <w:r>
        <w:rPr>
          <w:b/>
          <w:i/>
          <w:color w:val="2E7D32"/>
          <w:sz w:val="17"/>
        </w:rPr>
        <w:t>Persamaan: Persamaan Kuantifikasi Izin di Zona Kritis</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Total_Izin_Zona_Kritis = Σ ( IUP_p,t )   ;   untuk seluruh observasi dengan Status = 'Kritis'</w:t>
      </w:r>
    </w:p>
    <w:p>
      <w:pPr>
        <w:spacing w:after="120"/>
        <w:ind w:left="280"/>
      </w:pPr>
      <w:r>
        <w:rPr>
          <w:b/>
          <w:i/>
          <w:color w:val="333333"/>
          <w:sz w:val="16"/>
        </w:rPr>
        <w:t>Keterangan Variabel:</w:t>
        <w:br/>
      </w:r>
      <w:r>
        <w:rPr>
          <w:b/>
          <w:i w:val="0"/>
          <w:color w:val="1B5E20"/>
          <w:sz w:val="16"/>
        </w:rPr>
        <w:t xml:space="preserve">- Total_Izin_Zona_Kritis: </w:t>
      </w:r>
      <w:r>
        <w:rPr>
          <w:b w:val="0"/>
          <w:i w:val="0"/>
          <w:color w:val="444444"/>
          <w:sz w:val="16"/>
        </w:rPr>
        <w:t>Akumulasi Izin Usaha Pertambangan baru yang tetap terbit pada periode berstatus Kritis (277 izin).</w:t>
        <w:br/>
      </w:r>
      <w:r>
        <w:rPr>
          <w:b/>
          <w:i w:val="0"/>
          <w:color w:val="1B5E20"/>
          <w:sz w:val="16"/>
        </w:rPr>
        <w:t xml:space="preserve">- IUP_p,t: </w:t>
      </w:r>
      <w:r>
        <w:rPr>
          <w:b w:val="0"/>
          <w:i w:val="0"/>
          <w:color w:val="444444"/>
          <w:sz w:val="16"/>
        </w:rPr>
        <w:t>Jumlah izin tambang baru pada provinsi p dan tahun t (variabel keputusan aktor).</w:t>
      </w:r>
    </w:p>
    <w:p>
      <w:pPr>
        <w:spacing w:after="100"/>
        <w:jc w:val="both"/>
      </w:pPr>
      <w:r>
        <w:rPr>
          <w:b w:val="0"/>
          <w:i w:val="0"/>
          <w:color w:val="222222"/>
          <w:sz w:val="19"/>
        </w:rPr>
        <w:t>Substitusi angka dari dataset aktual ke dalam rumus ambang persentil dan kuantifikasi pelanggaran adalah sebagai berikut:</w:t>
      </w:r>
    </w:p>
    <w:p>
      <w:pPr>
        <w:spacing w:before="120" w:after="20"/>
      </w:pPr>
      <w:r>
        <w:rPr>
          <w:b/>
          <w:i/>
          <w:color w:val="2E7D32"/>
          <w:sz w:val="17"/>
        </w:rPr>
        <w:t>Persamaan: Substitusi Ambang Batas Persentil</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Ambang_Tertekan = Persentil_33 ( D ) = 12,897.8 Ha   ;   Ambang_Kritis = Persentil_66 ( D ) = 26,453.0 Ha</w:t>
      </w:r>
    </w:p>
    <w:p>
      <w:pPr>
        <w:spacing w:before="120" w:after="20"/>
      </w:pPr>
      <w:r>
        <w:rPr>
          <w:b/>
          <w:i/>
          <w:color w:val="2E7D32"/>
          <w:sz w:val="17"/>
        </w:rPr>
        <w:t>Persamaan: Substitusi Klasifikasi Status Panel</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N_Aman = 20 observasi   ;   N_Tertekan = 19 observasi   ;   N_Kritis = 21 observasi   (Total N = 60)</w:t>
      </w:r>
    </w:p>
    <w:p>
      <w:pPr>
        <w:spacing w:before="120" w:after="20"/>
      </w:pPr>
      <w:r>
        <w:rPr>
          <w:b/>
          <w:i/>
          <w:color w:val="2E7D32"/>
          <w:sz w:val="17"/>
        </w:rPr>
        <w:t>Persamaan: Substitusi Kuantifikasi Izin per Status</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Σ IUP_Aman = 26 izin   ;   Σ IUP_Tertekan = 77 izin   ;   Σ IUP_Kritis = 277 izin (440,998 Ha)</w:t>
      </w:r>
    </w:p>
    <w:p>
      <w:pPr>
        <w:spacing w:before="160" w:after="40"/>
      </w:pPr>
      <w:r>
        <w:rPr>
          <w:b/>
          <w:i w:val="0"/>
          <w:color w:val="2E7D32"/>
          <w:sz w:val="19"/>
        </w:rPr>
        <w:t>D. Matriks Hasil Uji Empiris: Kepatuhan D3TLH dan Tabel Irisan Zona Kritis</w:t>
      </w:r>
    </w:p>
    <w:p>
      <w:pPr>
        <w:spacing w:after="100"/>
        <w:jc w:val="both"/>
      </w:pPr>
      <w:r>
        <w:rPr>
          <w:b w:val="0"/>
          <w:i w:val="0"/>
          <w:color w:val="222222"/>
          <w:sz w:val="19"/>
        </w:rPr>
        <w:t xml:space="preserve">Matriks perbandingan aturan normatif dengan kenyataan penerbitan izin pada masing-masing status daya dukung disajikan pada </w:t>
      </w:r>
      <w:r>
        <w:rPr>
          <w:b/>
          <w:i w:val="0"/>
          <w:color w:val="222222"/>
          <w:sz w:val="19"/>
        </w:rPr>
        <w:t>Tabel 7.1</w:t>
      </w:r>
      <w:r>
        <w:rPr>
          <w:b w:val="0"/>
          <w:i w:val="0"/>
          <w:color w:val="222222"/>
          <w:sz w:val="19"/>
        </w:rPr>
        <w:t xml:space="preserve"> berikut:</w:t>
      </w:r>
    </w:p>
    <w:p>
      <w:pPr>
        <w:spacing w:before="120" w:after="40"/>
      </w:pPr>
      <w:r>
        <w:rPr>
          <w:b/>
          <w:i/>
          <w:color w:val="2E7D32"/>
          <w:sz w:val="17"/>
        </w:rPr>
        <w:t>Tabel 7.1: Matriks Kepatuhan D3TLH - Seharusnya vs Kenyataan per Status Daya Dukung</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24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Status Daya Dukung</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Rentang Kerusakan Hutan</w:t>
            </w:r>
          </w:p>
        </w:tc>
        <w:tc>
          <w:tcPr>
            <w:tcW w:type="dxa" w:w="90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N Observasi</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Seharusnya (Menurut Aturan)</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Kenyataan di Lapangan</w:t>
            </w:r>
          </w:p>
        </w:tc>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Total Luas Konsesi (Ha)</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Kesimpulan Tata Kelola</w:t>
            </w:r>
          </w:p>
        </w:tc>
      </w:tr>
      <w:tr>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Aman</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2,690 - 12,382 Ha</w:t>
            </w:r>
          </w:p>
        </w:tc>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Wajar diterbitkan izin</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26 Izin Baru Keluar</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87,070</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Normal (Sesuai Aturan)</w:t>
            </w:r>
          </w:p>
        </w:tc>
      </w:tr>
      <w:tr>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Tertekan</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13,479 - 25,302 Ha</w:t>
            </w:r>
          </w:p>
        </w:tc>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Izin mulai direm/dibatasi</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77 Izin Baru Keluar</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107,377</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Anomali (Lampu Kuning)</w:t>
            </w:r>
          </w:p>
        </w:tc>
      </w:tr>
      <w:tr>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Kritis</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26,526 - 97,091 Ha</w:t>
            </w:r>
          </w:p>
        </w:tc>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21</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Moratorium / Evaluasi Ketat</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277 Izin Baru Keluar</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440,998</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PERLU EVALUASI</w:t>
            </w:r>
          </w:p>
        </w:tc>
      </w:tr>
    </w:tbl>
    <w:p>
      <w:pPr>
        <w:spacing w:after="80"/>
      </w:pPr>
    </w:p>
    <w:p>
      <w:pPr>
        <w:spacing w:after="100"/>
        <w:jc w:val="both"/>
      </w:pPr>
      <w:r>
        <w:rPr>
          <w:b w:val="0"/>
          <w:i w:val="0"/>
          <w:color w:val="222222"/>
          <w:sz w:val="19"/>
        </w:rPr>
        <w:t xml:space="preserve">Tabel Irisan (Intersection) menyatukan Data Satelit (GFW) dan Data Perizinan (ESDM Minerba One): sistem melacak nama-nama perusahaan yang SK IUP-nya ditandatangani persis pada Tahun dan Provinsi yang sedang berstatus Kritis akibat deforestasi. Sepuluh entri dengan luas konsesi terbesar (dari total 277 izin di zona kritis) disajikan pada </w:t>
      </w:r>
      <w:r>
        <w:rPr>
          <w:b/>
          <w:i w:val="0"/>
          <w:color w:val="222222"/>
          <w:sz w:val="19"/>
        </w:rPr>
        <w:t>Tabel 7.2</w:t>
      </w:r>
      <w:r>
        <w:rPr>
          <w:b w:val="0"/>
          <w:i w:val="0"/>
          <w:color w:val="222222"/>
          <w:sz w:val="19"/>
        </w:rPr>
        <w:t xml:space="preserve"> berikut:</w:t>
      </w:r>
    </w:p>
    <w:p>
      <w:pPr>
        <w:spacing w:before="120" w:after="40"/>
      </w:pPr>
      <w:r>
        <w:rPr>
          <w:b/>
          <w:i/>
          <w:color w:val="2E7D32"/>
          <w:sz w:val="17"/>
        </w:rPr>
        <w:t>Tabel 7.2: Sampel Irisan Izin IUP Terbit di Zona Kritis - 10 Konsesi Terluas (dari 277 izin)</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041"/>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Nama Perusahaan (IUP)</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Komoditas</w:t>
            </w:r>
          </w:p>
        </w:tc>
        <w:tc>
          <w:tcPr>
            <w:tcW w:type="dxa" w:w="1247"/>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Provinsi</w:t>
            </w:r>
          </w:p>
        </w:tc>
        <w:tc>
          <w:tcPr>
            <w:tcW w:type="dxa" w:w="1020"/>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Tahun Terbit</w:t>
            </w:r>
          </w:p>
        </w:tc>
        <w:tc>
          <w:tcPr>
            <w:tcW w:type="dxa" w:w="158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Kehilangan Hutan Provinsi (Ha)</w:t>
            </w:r>
          </w:p>
        </w:tc>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Luas Konsesi (Ha)</w:t>
            </w:r>
          </w:p>
        </w:tc>
      </w:tr>
      <w:tr>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CITRA PALU MINERALS</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Emas</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2017</w:t>
            </w:r>
          </w:p>
        </w:tc>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39,356</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85,180.00</w:t>
            </w:r>
          </w:p>
        </w:tc>
      </w:tr>
      <w:tr>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GORONTALO MINERALS</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Emas</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2019</w:t>
            </w:r>
          </w:p>
        </w:tc>
        <w:tc>
          <w:tcPr>
            <w:tcW w:type="dxa" w:w="158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29,367</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24,995.00</w:t>
            </w:r>
          </w:p>
        </w:tc>
      </w:tr>
      <w:tr>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CAHAYA MINERAL</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Nikel</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2019</w:t>
            </w:r>
          </w:p>
        </w:tc>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41,994</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21,100.00</w:t>
            </w:r>
          </w:p>
        </w:tc>
      </w:tr>
      <w:tr>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TRIO KENCANA</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Emas</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2020</w:t>
            </w:r>
          </w:p>
        </w:tc>
        <w:tc>
          <w:tcPr>
            <w:tcW w:type="dxa" w:w="158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28,365</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15,725.00</w:t>
            </w:r>
          </w:p>
        </w:tc>
      </w:tr>
      <w:tr>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KALLA AREBAMMA</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Emas</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2017</w:t>
            </w:r>
          </w:p>
        </w:tc>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27,761</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12,010.00</w:t>
            </w:r>
          </w:p>
        </w:tc>
      </w:tr>
      <w:tr>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BUMI INDAH SULTRA</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Nikel</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2020</w:t>
            </w:r>
          </w:p>
        </w:tc>
        <w:tc>
          <w:tcPr>
            <w:tcW w:type="dxa" w:w="158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28,365</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8,034.00</w:t>
            </w:r>
          </w:p>
        </w:tc>
      </w:tr>
      <w:tr>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BANGGAI KENCANA PERMAI</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Nikel</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2022</w:t>
            </w:r>
          </w:p>
        </w:tc>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26,526</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7,878.00</w:t>
            </w:r>
          </w:p>
        </w:tc>
      </w:tr>
      <w:tr>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ARTESIS INDONESIA</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Tembaga</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2017</w:t>
            </w:r>
          </w:p>
        </w:tc>
        <w:tc>
          <w:tcPr>
            <w:tcW w:type="dxa" w:w="158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27,761</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7,614.00</w:t>
            </w:r>
          </w:p>
        </w:tc>
      </w:tr>
      <w:tr>
        <w:tc>
          <w:tcPr>
            <w:tcW w:type="dxa" w:w="204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KALLA AREBAMMA</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Besi</w:t>
            </w:r>
          </w:p>
        </w:tc>
        <w:tc>
          <w:tcPr>
            <w:tcW w:type="dxa" w:w="124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2017</w:t>
            </w:r>
          </w:p>
        </w:tc>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27,761</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6,812.00</w:t>
            </w:r>
          </w:p>
        </w:tc>
      </w:tr>
      <w:tr>
        <w:tc>
          <w:tcPr>
            <w:tcW w:type="dxa" w:w="204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PARAMOS REZEKI INDAH</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Nikel</w:t>
            </w:r>
          </w:p>
        </w:tc>
        <w:tc>
          <w:tcPr>
            <w:tcW w:type="dxa" w:w="124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c>
          <w:tcPr>
            <w:tcW w:type="dxa" w:w="158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41,356</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6,639.00</w:t>
            </w:r>
          </w:p>
        </w:tc>
      </w:tr>
    </w:tbl>
    <w:p>
      <w:pPr>
        <w:spacing w:after="80"/>
      </w:pPr>
    </w:p>
    <w:p>
      <w:pPr>
        <w:spacing w:before="160" w:after="40"/>
      </w:pPr>
      <w:r>
        <w:rPr>
          <w:b/>
          <w:i w:val="0"/>
          <w:color w:val="2E7D32"/>
          <w:sz w:val="19"/>
        </w:rPr>
        <w:t>E. Analisis Temuan Empiris: Konklusi Kepatuhan D3TLH Berdasarkan Data Historis</w:t>
      </w:r>
    </w:p>
    <w:p>
      <w:pPr>
        <w:spacing w:after="100"/>
        <w:jc w:val="both"/>
      </w:pPr>
      <w:r>
        <w:rPr>
          <w:b/>
          <w:i w:val="0"/>
          <w:color w:val="222222"/>
          <w:sz w:val="19"/>
        </w:rPr>
        <w:t xml:space="preserve">1. </w:t>
      </w:r>
      <w:r>
        <w:rPr>
          <w:b/>
          <w:i w:val="0"/>
          <w:color w:val="222222"/>
          <w:sz w:val="19"/>
        </w:rPr>
        <w:t xml:space="preserve">Fungsi Pembatas D3TLH Perlu Ditingkatkan: </w:t>
      </w:r>
      <w:r>
        <w:rPr>
          <w:b w:val="0"/>
          <w:i w:val="0"/>
          <w:color w:val="222222"/>
          <w:sz w:val="19"/>
        </w:rPr>
        <w:t>Terdapat 277 Izin Baru yang terbit pada periode berstatus deforestasi tinggi (Kritis), mencakup luasan konsesi 440,998 Ha. Apabila pada status Kritis izin masih diterbitkan, hal tersebut secara matematis mendiskualifikasi D3TLH sebagai instrumen perlindungan lingkungan.</w:t>
        <w:br/>
      </w:r>
      <w:r>
        <w:rPr>
          <w:b/>
          <w:i w:val="0"/>
          <w:color w:val="222222"/>
          <w:sz w:val="19"/>
        </w:rPr>
        <w:t xml:space="preserve">2. </w:t>
      </w:r>
      <w:r>
        <w:rPr>
          <w:b/>
          <w:i w:val="0"/>
          <w:color w:val="222222"/>
          <w:sz w:val="19"/>
        </w:rPr>
        <w:t xml:space="preserve">Bukti Irisan 100% Data-Driven: </w:t>
      </w:r>
      <w:r>
        <w:rPr>
          <w:b w:val="0"/>
          <w:i w:val="0"/>
          <w:color w:val="222222"/>
          <w:sz w:val="19"/>
        </w:rPr>
        <w:t>Tabel irisan ESDM x GFW mengidentifikasi 277 izin IUP baru (total luas 440,998 Ha) yang tetap diterbitkan di tengah situasi kritis pada pasangan Provinsi-Tahun yang sama.</w:t>
        <w:br/>
      </w:r>
      <w:r>
        <w:rPr>
          <w:b/>
          <w:i w:val="0"/>
          <w:color w:val="222222"/>
          <w:sz w:val="19"/>
        </w:rPr>
        <w:t xml:space="preserve">3. </w:t>
      </w:r>
      <w:r>
        <w:rPr>
          <w:b/>
          <w:i w:val="0"/>
          <w:color w:val="222222"/>
          <w:sz w:val="19"/>
        </w:rPr>
        <w:t xml:space="preserve">Implikasi Kebijakan: </w:t>
      </w:r>
      <w:r>
        <w:rPr>
          <w:b w:val="0"/>
          <w:i w:val="0"/>
          <w:color w:val="222222"/>
          <w:sz w:val="19"/>
        </w:rPr>
        <w:t>Diperlukan penguatan integrasi data lingkungan dalam keputusan perizinan agar dokumen AMDAL, D3TLH, dan KLHS menjadi pertimbangan utama yang mengikat.</w:t>
      </w:r>
    </w:p>
    <w:p>
      <w:pPr>
        <w:spacing w:before="240" w:after="80"/>
        <w:pBdr>
          <w:bottom w:val="single" w:sz="6" w:space="2" w:color="2E7D32"/>
        </w:pBdr>
      </w:pPr>
      <w:r>
        <w:rPr>
          <w:b/>
          <w:i w:val="0"/>
          <w:color w:val="2E7D32"/>
          <w:sz w:val="22"/>
        </w:rPr>
        <w:t>7.2 TABRAKAN HUKUM: IMPUNITAS DAN PEMBIARAN OPERASI ILEGAL</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Konflik Hukum: data/processed/sulawesi_konflik_hukum.csv (kompilasi Konsorsium Pembaruan Agraria / KPA, TanahKita, dan laporan LSM). Visualisasi dashboard menampilkan metrik total kasus, Bubble Timeline sebaran konflik agraria 10 tahun terakhir (Tahun × Provinsi), tabel sebaran sektor konflik, serta daftar rekam jejak kasus.</w:t>
      </w:r>
    </w:p>
    <w:p>
      <w:pPr>
        <w:spacing w:before="160" w:after="40"/>
      </w:pPr>
      <w:r>
        <w:rPr>
          <w:b/>
          <w:i w:val="0"/>
          <w:color w:val="2E7D32"/>
          <w:sz w:val="19"/>
        </w:rPr>
        <w:t>A. Pengantar &amp; Kerangka Narasi</w:t>
      </w:r>
    </w:p>
    <w:p>
      <w:pPr>
        <w:spacing w:after="100"/>
        <w:jc w:val="both"/>
      </w:pPr>
      <w:r>
        <w:rPr>
          <w:b w:val="0"/>
          <w:i w:val="0"/>
          <w:color w:val="222222"/>
          <w:sz w:val="19"/>
        </w:rPr>
        <w:t xml:space="preserve">Konsep Daya Tampung dan Daya Dukung Lingkungan Hidup (D3TLH) mengukur kapasitas daya tahan ekosistem serta daya dukung sosial masyarakat di sekitar kawasan industri. Kompilasi laporan masyarakat sipil dan organisasi terkait mencatat adanya sengketa tanah dan dinamika sosial dalam ekspansi industri ekstraktif. </w:t>
      </w:r>
      <w:r>
        <w:rPr>
          <w:b w:val="0"/>
          <w:i w:val="0"/>
          <w:color w:val="222222"/>
          <w:sz w:val="19"/>
        </w:rPr>
        <w:t>Hal ini menunjukkan pentingnya kepatuhan perizinan dan penerapan sanksi administratif secara konsisten. Pengawasan terhadap batas wilayah perizinan (HGU/IUP) serta pelaksanaan konsultasi publik (FPIC) menjadi aspek penting dalam tata kelola pertanahan dan lingkungan.</w:t>
      </w:r>
    </w:p>
    <w:p>
      <w:pPr>
        <w:spacing w:after="100"/>
        <w:jc w:val="both"/>
      </w:pPr>
      <w:r>
        <w:rPr>
          <w:b w:val="0"/>
          <w:i w:val="0"/>
          <w:color w:val="222222"/>
          <w:sz w:val="19"/>
        </w:rPr>
        <w:t>Penguatan koordinasi antar-instansi serta penyelesaian sengketa tenurial secara adil menjadi langkah krusial untuk memastikan kepastian hukum dan perlindungan hak masyarakat di wilayah sekitar industri.</w:t>
      </w:r>
    </w:p>
    <w:p>
      <w:pPr>
        <w:spacing w:before="160" w:after="40"/>
      </w:pPr>
      <w:r>
        <w:rPr>
          <w:b/>
          <w:i w:val="0"/>
          <w:color w:val="2E7D32"/>
          <w:sz w:val="19"/>
        </w:rPr>
        <w:t>B. Alur Logika Metodologis Pemetaan Impunitas Korporasi (Thematic Coding)</w:t>
      </w:r>
    </w:p>
    <w:p>
      <w:pPr>
        <w:spacing w:after="100"/>
        <w:jc w:val="both"/>
      </w:pPr>
      <w:r>
        <w:rPr>
          <w:b w:val="0"/>
          <w:i w:val="0"/>
          <w:color w:val="222222"/>
          <w:sz w:val="19"/>
        </w:rPr>
        <w:t xml:space="preserve">Kerangka agregasi pelaporan berbasis insiden (Incident-based Reporting Aggregation) untuk mengukur tingkat pembiaran penegakan hukum diilustrasikan pada </w:t>
      </w:r>
      <w:r>
        <w:rPr>
          <w:b/>
          <w:i w:val="0"/>
          <w:color w:val="222222"/>
          <w:sz w:val="19"/>
        </w:rPr>
        <w:t>Bagan Alur 7.2</w:t>
      </w:r>
      <w:r>
        <w:rPr>
          <w:b w:val="0"/>
          <w:i w:val="0"/>
          <w:color w:val="222222"/>
          <w:sz w:val="19"/>
        </w:rPr>
        <w:t xml:space="preserve"> berikut. Sub-bab ini tidak menggunakan uji inferensial Chi-Square, melainkan Thematic Coding dan analisis kasus deskriptif.</w:t>
      </w:r>
    </w:p>
    <w:p>
      <w:pPr>
        <w:spacing w:before="120" w:after="40"/>
      </w:pPr>
      <w:r>
        <w:rPr>
          <w:b/>
          <w:i/>
          <w:color w:val="2E7D32"/>
          <w:sz w:val="17"/>
        </w:rPr>
        <w:t>Bagan Alur 7.2: Alur Logika Analisis Pemetaan Impunitas Korporasi (Thematic Coding)</w:t>
      </w:r>
    </w:p>
    <w:p>
      <w:pPr>
        <w:jc w:val="center"/>
      </w:pPr>
      <w:r>
        <w:drawing>
          <wp:inline xmlns:a="http://schemas.openxmlformats.org/drawingml/2006/main" xmlns:pic="http://schemas.openxmlformats.org/drawingml/2006/picture">
            <wp:extent cx="5400000" cy="1082593"/>
            <wp:docPr id="2" name="Picture 2"/>
            <wp:cNvGraphicFramePr>
              <a:graphicFrameLocks noChangeAspect="1"/>
            </wp:cNvGraphicFramePr>
            <a:graphic>
              <a:graphicData uri="http://schemas.openxmlformats.org/drawingml/2006/picture">
                <pic:pic>
                  <pic:nvPicPr>
                    <pic:cNvPr id="0" name="mermaid_flowchart_7_2.png"/>
                    <pic:cNvPicPr/>
                  </pic:nvPicPr>
                  <pic:blipFill>
                    <a:blip r:embed="rId10"/>
                    <a:stretch>
                      <a:fillRect/>
                    </a:stretch>
                  </pic:blipFill>
                  <pic:spPr>
                    <a:xfrm>
                      <a:off x="0" y="0"/>
                      <a:ext cx="5400000" cy="1082593"/>
                    </a:xfrm>
                    <a:prstGeom prst="rect"/>
                  </pic:spPr>
                </pic:pic>
              </a:graphicData>
            </a:graphic>
          </wp:inline>
        </w:drawing>
      </w:r>
    </w:p>
    <w:p>
      <w:pPr>
        <w:spacing w:before="160" w:after="40"/>
      </w:pPr>
      <w:r>
        <w:rPr>
          <w:b/>
          <w:i w:val="0"/>
          <w:color w:val="2E7D32"/>
          <w:sz w:val="19"/>
        </w:rPr>
        <w:t>C. Formulasi Matematis: Agregasi Insiden dan Volume Pembiaran Sektoral</w:t>
      </w:r>
    </w:p>
    <w:p>
      <w:pPr>
        <w:spacing w:after="100"/>
        <w:jc w:val="both"/>
      </w:pPr>
      <w:r>
        <w:rPr>
          <w:b w:val="0"/>
          <w:i w:val="0"/>
          <w:color w:val="222222"/>
          <w:sz w:val="19"/>
        </w:rPr>
        <w:t>Kuantifikasi tingkat pembiaran penegakan hukum dihitung menggunakan sistem formulasi matematis berikut:</w:t>
      </w:r>
    </w:p>
    <w:p>
      <w:pPr>
        <w:spacing w:before="120" w:after="20"/>
      </w:pPr>
      <w:r>
        <w:rPr>
          <w:b/>
          <w:i/>
          <w:color w:val="2E7D32"/>
          <w:sz w:val="17"/>
        </w:rPr>
        <w:t>Persamaan: Persamaan Total Kasus Impunitas</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Total_Kasus_Impunitas = Σ ( Kasus_i )   ;   untuk seluruh laporan insiden i dalam database</w:t>
      </w:r>
    </w:p>
    <w:p>
      <w:pPr>
        <w:spacing w:after="120"/>
        <w:ind w:left="280"/>
      </w:pPr>
      <w:r>
        <w:rPr>
          <w:b/>
          <w:i/>
          <w:color w:val="333333"/>
          <w:sz w:val="16"/>
        </w:rPr>
        <w:t>Keterangan Variabel:</w:t>
        <w:br/>
      </w:r>
      <w:r>
        <w:rPr>
          <w:b/>
          <w:i w:val="0"/>
          <w:color w:val="1B5E20"/>
          <w:sz w:val="16"/>
        </w:rPr>
        <w:t xml:space="preserve">- Total_Kasus_Impunitas: </w:t>
      </w:r>
      <w:r>
        <w:rPr>
          <w:b w:val="0"/>
          <w:i w:val="0"/>
          <w:color w:val="444444"/>
          <w:sz w:val="16"/>
        </w:rPr>
        <w:t>Jumlah agregat kasus konflik, pelanggaran, dan operasi ilegal yang terdokumentasi namun operasinya tetap dipertahankan.</w:t>
        <w:br/>
      </w:r>
      <w:r>
        <w:rPr>
          <w:b/>
          <w:i w:val="0"/>
          <w:color w:val="1B5E20"/>
          <w:sz w:val="16"/>
        </w:rPr>
        <w:t xml:space="preserve">- Kasus_i: </w:t>
      </w:r>
      <w:r>
        <w:rPr>
          <w:b w:val="0"/>
          <w:i w:val="0"/>
          <w:color w:val="444444"/>
          <w:sz w:val="16"/>
        </w:rPr>
        <w:t>Satu entri laporan insiden pada database konflik hukum (atribut: Provinsi, Sektor, Judul_Kasus, Tahun).</w:t>
      </w:r>
    </w:p>
    <w:p>
      <w:pPr>
        <w:spacing w:before="120" w:after="20"/>
      </w:pPr>
      <w:r>
        <w:rPr>
          <w:b/>
          <w:i/>
          <w:color w:val="2E7D32"/>
          <w:sz w:val="17"/>
        </w:rPr>
        <w:t>Persamaan: Persamaan Volume Pembiaran Sektoral</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Volume_Sektoral_s = Σ ( Kasus_i )   ;   untuk seluruh kasus i dengan Sektor = s</w:t>
      </w:r>
    </w:p>
    <w:p>
      <w:pPr>
        <w:spacing w:after="120"/>
        <w:ind w:left="280"/>
      </w:pPr>
      <w:r>
        <w:rPr>
          <w:b/>
          <w:i/>
          <w:color w:val="333333"/>
          <w:sz w:val="16"/>
        </w:rPr>
        <w:t>Keterangan Variabel:</w:t>
        <w:br/>
      </w:r>
      <w:r>
        <w:rPr>
          <w:b/>
          <w:i w:val="0"/>
          <w:color w:val="1B5E20"/>
          <w:sz w:val="16"/>
        </w:rPr>
        <w:t xml:space="preserve">- Volume_Sektoral_s: </w:t>
      </w:r>
      <w:r>
        <w:rPr>
          <w:b w:val="0"/>
          <w:i w:val="0"/>
          <w:color w:val="444444"/>
          <w:sz w:val="16"/>
        </w:rPr>
        <w:t>Jumlah kasus pembiaran yang diatribusikan pada sektor industri s (Pertambangan, Perkebunan, dst.).</w:t>
      </w:r>
    </w:p>
    <w:p>
      <w:pPr>
        <w:spacing w:before="120" w:after="20"/>
      </w:pPr>
      <w:r>
        <w:rPr>
          <w:b/>
          <w:i/>
          <w:color w:val="2E7D32"/>
          <w:sz w:val="17"/>
        </w:rPr>
        <w:t>Persamaan: Persamaan Proporsi Pembiaran Sektoral</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Proporsi_Sektoral_s (%) = ( Volume_Sektoral_s / Total_Kasus_Impunitas ) × 100</w:t>
      </w:r>
    </w:p>
    <w:p>
      <w:pPr>
        <w:spacing w:after="120"/>
        <w:ind w:left="280"/>
      </w:pPr>
      <w:r>
        <w:rPr>
          <w:b/>
          <w:i/>
          <w:color w:val="333333"/>
          <w:sz w:val="16"/>
        </w:rPr>
        <w:t>Keterangan Variabel:</w:t>
        <w:br/>
      </w:r>
      <w:r>
        <w:rPr>
          <w:b/>
          <w:i w:val="0"/>
          <w:color w:val="1B5E20"/>
          <w:sz w:val="16"/>
        </w:rPr>
        <w:t xml:space="preserve">- Proporsi_Sektoral_s (%): </w:t>
      </w:r>
      <w:r>
        <w:rPr>
          <w:b w:val="0"/>
          <w:i w:val="0"/>
          <w:color w:val="444444"/>
          <w:sz w:val="16"/>
        </w:rPr>
        <w:t>Kontribusi sektor s terhadap total kasus impunitas terdokumentasi.</w:t>
      </w:r>
    </w:p>
    <w:p>
      <w:pPr>
        <w:spacing w:after="100"/>
        <w:jc w:val="both"/>
      </w:pPr>
      <w:r>
        <w:rPr>
          <w:b w:val="0"/>
          <w:i w:val="0"/>
          <w:color w:val="222222"/>
          <w:sz w:val="19"/>
        </w:rPr>
        <w:t>Substitusi angka dari dataset aktual ke dalam rumus agregasi insiden adalah sebagai berikut:</w:t>
      </w:r>
    </w:p>
    <w:p>
      <w:pPr>
        <w:spacing w:before="120" w:after="20"/>
      </w:pPr>
      <w:r>
        <w:rPr>
          <w:b/>
          <w:i/>
          <w:color w:val="2E7D32"/>
          <w:sz w:val="17"/>
        </w:rPr>
        <w:t>Persamaan: Substitusi Total Kasus Impunitas</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Total_Kasus_Impunitas = 32 kasus   ;   17 kasus di antaranya pada dekade 2014-2023</w:t>
      </w:r>
    </w:p>
    <w:p>
      <w:pPr>
        <w:spacing w:before="120" w:after="20"/>
      </w:pPr>
      <w:r>
        <w:rPr>
          <w:b/>
          <w:i/>
          <w:color w:val="2E7D32"/>
          <w:sz w:val="17"/>
        </w:rPr>
        <w:t>Persamaan: Substitusi Volume Sektoral Tertinggi</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Volume_Sektoral_Pertambangan = 11 kasus (34.4%)   ;   Volume_Sektoral_Perkebunan = 6 kasus</w:t>
      </w:r>
    </w:p>
    <w:p>
      <w:pPr>
        <w:spacing w:before="120" w:after="20"/>
      </w:pPr>
      <w:r>
        <w:rPr>
          <w:b/>
          <w:i/>
          <w:color w:val="2E7D32"/>
          <w:sz w:val="17"/>
        </w:rPr>
        <w:t>Persamaan: Substitusi Sebaran Provinsi Tertinggi</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Volume_Provinsi_Sulawesi_Tenggara = 8 kasus   (dari total 32 kasus se-Sulawesi)</w:t>
      </w:r>
    </w:p>
    <w:p>
      <w:pPr>
        <w:spacing w:before="160" w:after="40"/>
      </w:pPr>
      <w:r>
        <w:rPr>
          <w:b/>
          <w:i w:val="0"/>
          <w:color w:val="2E7D32"/>
          <w:sz w:val="19"/>
        </w:rPr>
        <w:t>D. Matriks Hasil Uji Empiris: Sebaran Sektor, Provinsi, dan Rekam Jejak Kasus</w:t>
      </w:r>
    </w:p>
    <w:p>
      <w:pPr>
        <w:spacing w:after="100"/>
        <w:jc w:val="both"/>
      </w:pPr>
      <w:r>
        <w:rPr>
          <w:b w:val="0"/>
          <w:i w:val="0"/>
          <w:color w:val="222222"/>
          <w:sz w:val="19"/>
        </w:rPr>
        <w:t xml:space="preserve">Sebaran kasus konflik dan pembiaran berdasarkan sektor penyebab disajikan pada </w:t>
      </w:r>
      <w:r>
        <w:rPr>
          <w:b/>
          <w:i w:val="0"/>
          <w:color w:val="222222"/>
          <w:sz w:val="19"/>
        </w:rPr>
        <w:t>Tabel 7.3</w:t>
      </w:r>
      <w:r>
        <w:rPr>
          <w:b w:val="0"/>
          <w:i w:val="0"/>
          <w:color w:val="222222"/>
          <w:sz w:val="19"/>
        </w:rPr>
        <w:t xml:space="preserve"> berikut:</w:t>
      </w:r>
    </w:p>
    <w:p>
      <w:pPr>
        <w:spacing w:before="120" w:after="40"/>
      </w:pPr>
      <w:r>
        <w:rPr>
          <w:b/>
          <w:i/>
          <w:color w:val="2E7D32"/>
          <w:sz w:val="17"/>
        </w:rPr>
        <w:t>Tabel 7.3: Sebaran Sektor Konflik dan Pembiaran Operasi Ilegal</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402"/>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Sektor (Penyebab)</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Jumlah Kasus</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Proporsi (%)</w:t>
            </w:r>
          </w:p>
        </w:tc>
      </w:tr>
      <w:tr>
        <w:tc>
          <w:tcPr>
            <w:tcW w:type="dxa" w:w="3402"/>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Pertambangan</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11</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34.4%</w:t>
            </w:r>
          </w:p>
        </w:tc>
      </w:tr>
      <w:tr>
        <w:tc>
          <w:tcPr>
            <w:tcW w:type="dxa" w:w="3402"/>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Perkebunan</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18.8%</w:t>
            </w:r>
          </w:p>
        </w:tc>
      </w:tr>
      <w:tr>
        <w:tc>
          <w:tcPr>
            <w:tcW w:type="dxa" w:w="3402"/>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Hutan Lindung</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15.6%</w:t>
            </w:r>
          </w:p>
        </w:tc>
      </w:tr>
      <w:tr>
        <w:tc>
          <w:tcPr>
            <w:tcW w:type="dxa" w:w="3402"/>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Hutan Produksi</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9.4%</w:t>
            </w:r>
          </w:p>
        </w:tc>
      </w:tr>
      <w:tr>
        <w:tc>
          <w:tcPr>
            <w:tcW w:type="dxa" w:w="3402"/>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Hutan Konservasi</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6.2%</w:t>
            </w:r>
          </w:p>
        </w:tc>
      </w:tr>
      <w:tr>
        <w:tc>
          <w:tcPr>
            <w:tcW w:type="dxa" w:w="3402"/>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Kawasan Industri</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3.1%</w:t>
            </w:r>
          </w:p>
        </w:tc>
      </w:tr>
      <w:tr>
        <w:tc>
          <w:tcPr>
            <w:tcW w:type="dxa" w:w="3402"/>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Infrastruktur Energi Listrik</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3.1%</w:t>
            </w:r>
          </w:p>
        </w:tc>
      </w:tr>
      <w:tr>
        <w:tc>
          <w:tcPr>
            <w:tcW w:type="dxa" w:w="3402"/>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Infrastruktur</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3.1%</w:t>
            </w:r>
          </w:p>
        </w:tc>
      </w:tr>
      <w:tr>
        <w:tc>
          <w:tcPr>
            <w:tcW w:type="dxa" w:w="3402"/>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Transmigrasi</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3.1%</w:t>
            </w:r>
          </w:p>
        </w:tc>
      </w:tr>
      <w:tr>
        <w:tc>
          <w:tcPr>
            <w:tcW w:type="dxa" w:w="3402"/>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Pariwisata</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3.1%</w:t>
            </w:r>
          </w:p>
        </w:tc>
      </w:tr>
    </w:tbl>
    <w:p>
      <w:pPr>
        <w:spacing w:after="80"/>
      </w:pPr>
    </w:p>
    <w:p>
      <w:pPr>
        <w:spacing w:after="100"/>
        <w:jc w:val="both"/>
      </w:pPr>
      <w:r>
        <w:rPr>
          <w:b w:val="0"/>
          <w:i w:val="0"/>
          <w:color w:val="222222"/>
          <w:sz w:val="19"/>
        </w:rPr>
        <w:t xml:space="preserve">Sebaran spasial kasus per provinsi beserta rentang tahun kejadiannya (1982-2023) disajikan pada </w:t>
      </w:r>
      <w:r>
        <w:rPr>
          <w:b/>
          <w:i w:val="0"/>
          <w:color w:val="222222"/>
          <w:sz w:val="19"/>
        </w:rPr>
        <w:t>Tabel 7.4</w:t>
      </w:r>
      <w:r>
        <w:rPr>
          <w:b w:val="0"/>
          <w:i w:val="0"/>
          <w:color w:val="222222"/>
          <w:sz w:val="19"/>
        </w:rPr>
        <w:t xml:space="preserve"> berikut:</w:t>
      </w:r>
    </w:p>
    <w:p>
      <w:pPr>
        <w:spacing w:before="120" w:after="40"/>
      </w:pPr>
      <w:r>
        <w:rPr>
          <w:b/>
          <w:i/>
          <w:color w:val="2E7D32"/>
          <w:sz w:val="17"/>
        </w:rPr>
        <w:t>Tabel 7.4: Sebaran Wilayah Konflik per Provinsi dan Rentang Tahun Kejadian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268"/>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Provinsi</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Jumlah Kasus</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Proporsi (%)</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Rentang Tahun</w:t>
            </w:r>
          </w:p>
        </w:tc>
      </w:tr>
      <w:tr>
        <w:tc>
          <w:tcPr>
            <w:tcW w:type="dxa" w:w="226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25.0%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1999-2023</w:t>
            </w:r>
          </w:p>
        </w:tc>
      </w:tr>
      <w:tr>
        <w:tc>
          <w:tcPr>
            <w:tcW w:type="dxa" w:w="226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21.9%</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1982-2017</w:t>
            </w:r>
          </w:p>
        </w:tc>
      </w:tr>
      <w:tr>
        <w:tc>
          <w:tcPr>
            <w:tcW w:type="dxa" w:w="226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Utara</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18.8%</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1999-2023</w:t>
            </w:r>
          </w:p>
        </w:tc>
      </w:tr>
      <w:tr>
        <w:tc>
          <w:tcPr>
            <w:tcW w:type="dxa" w:w="226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15.6%</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2011-2023</w:t>
            </w:r>
          </w:p>
        </w:tc>
      </w:tr>
      <w:tr>
        <w:tc>
          <w:tcPr>
            <w:tcW w:type="dxa" w:w="226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(Umum)</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12.5%</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2003-2017</w:t>
            </w:r>
          </w:p>
        </w:tc>
      </w:tr>
      <w:tr>
        <w:tc>
          <w:tcPr>
            <w:tcW w:type="dxa" w:w="226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Gorontalo</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6.2%</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2012-2018</w:t>
            </w:r>
          </w:p>
        </w:tc>
      </w:tr>
    </w:tbl>
    <w:p>
      <w:pPr>
        <w:spacing w:after="80"/>
      </w:pPr>
    </w:p>
    <w:p>
      <w:pPr>
        <w:spacing w:after="100"/>
        <w:jc w:val="both"/>
      </w:pPr>
      <w:r>
        <w:rPr>
          <w:b w:val="0"/>
          <w:i w:val="0"/>
          <w:color w:val="222222"/>
          <w:sz w:val="19"/>
        </w:rPr>
        <w:t xml:space="preserve">Sepuluh rekam jejak kasus terbaru dari daftar konflik agraria dan pelanggaran hak disajikan pada </w:t>
      </w:r>
      <w:r>
        <w:rPr>
          <w:b/>
          <w:i w:val="0"/>
          <w:color w:val="222222"/>
          <w:sz w:val="19"/>
        </w:rPr>
        <w:t>Tabel 7.5</w:t>
      </w:r>
      <w:r>
        <w:rPr>
          <w:b w:val="0"/>
          <w:i w:val="0"/>
          <w:color w:val="222222"/>
          <w:sz w:val="19"/>
        </w:rPr>
        <w:t xml:space="preserve"> berikut:</w:t>
      </w:r>
    </w:p>
    <w:p>
      <w:pPr>
        <w:spacing w:before="120" w:after="40"/>
      </w:pPr>
      <w:r>
        <w:rPr>
          <w:b/>
          <w:i/>
          <w:color w:val="2E7D32"/>
          <w:sz w:val="17"/>
        </w:rPr>
        <w:t>Tabel 7.5: Sampel Rekam Jejak Konflik Agraria &amp; Pelanggaran Hak (10 Kasus Terbaru)</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907"/>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Tahun</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Provinsi</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Sektor</w:t>
            </w:r>
          </w:p>
        </w:tc>
        <w:tc>
          <w:tcPr>
            <w:tcW w:type="dxa" w:w="3175"/>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Judul/Nama Kasus</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Sumber</w:t>
            </w:r>
          </w:p>
        </w:tc>
      </w:tr>
      <w:tr>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Perkebunan</w:t>
            </w:r>
          </w:p>
        </w:tc>
        <w:tc>
          <w:tcPr>
            <w:tcW w:type="dxa" w:w="3175"/>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Dua kelompok Warga di Kabupaten Mamuju Tengah (Mateng), Sulawesi Barat (Sulbar) bentrok lantaran memperebutkan lahan sawit. Insiden itu menewaskan 1 orang dan 4 lainnya luka-luka.</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data/raw/konflik_kpa_ylbhi_tanahkita/</w:t>
            </w:r>
          </w:p>
        </w:tc>
      </w:tr>
      <w:tr>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Utara</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Infrastruktur</w:t>
            </w:r>
          </w:p>
        </w:tc>
        <w:tc>
          <w:tcPr>
            <w:tcW w:type="dxa" w:w="3175"/>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Ganti Rugi Belum Dibayar, Warga Kembali Blokir Akses Masuk Tol Jatikarya</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data/raw/konflik_kpa_ylbhi_tanahkita/</w:t>
            </w:r>
          </w:p>
        </w:tc>
      </w:tr>
      <w:tr>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Perkebunan</w:t>
            </w:r>
          </w:p>
        </w:tc>
        <w:tc>
          <w:tcPr>
            <w:tcW w:type="dxa" w:w="3175"/>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Sengketa Lahan Masyarakat Morowali Utara dengan PT Agro Nusa Abadi (ANA)</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data/raw/konflik_kpa_ylbhi_tanahkita/</w:t>
            </w:r>
          </w:p>
        </w:tc>
      </w:tr>
      <w:tr>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Pertambangan</w:t>
            </w:r>
          </w:p>
        </w:tc>
        <w:tc>
          <w:tcPr>
            <w:tcW w:type="dxa" w:w="3175"/>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Konflik Rumpun Suka Kecamatan Tinanggea dan Perusahaan Pertambangan PT Ifishdeco</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data/raw/konflik_kpa_ylbhi_tanahkita/</w:t>
            </w:r>
          </w:p>
        </w:tc>
      </w:tr>
      <w:tr>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2022</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Utara</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Infrastruktur Energi Listrik</w:t>
            </w:r>
          </w:p>
        </w:tc>
        <w:tc>
          <w:tcPr>
            <w:tcW w:type="dxa" w:w="3175"/>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Pembangunan Proyek Strategis Nasional (PSN) proyek PLTU Gorontalo Utara yang dibangun Pt.Gorontalo Listrik Perdana (GLP) masih menyisakan masalah sengketa lahan</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data/raw/konflik_kpa_ylbhi_tanahkita/</w:t>
            </w:r>
          </w:p>
        </w:tc>
      </w:tr>
      <w:tr>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2022</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Pertambangan</w:t>
            </w:r>
          </w:p>
        </w:tc>
        <w:tc>
          <w:tcPr>
            <w:tcW w:type="dxa" w:w="3175"/>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Orang Wawoni dan Ancaman Tambang Nikel</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data/raw/konflik_kpa_ylbhi_tanahkita/</w:t>
            </w:r>
          </w:p>
        </w:tc>
      </w:tr>
      <w:tr>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2022</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Pertambangan</w:t>
            </w:r>
          </w:p>
        </w:tc>
        <w:tc>
          <w:tcPr>
            <w:tcW w:type="dxa" w:w="3175"/>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Konflik Koalisi Selamatkan Pulau Wawoni</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data/raw/konflik_kpa_ylbhi_tanahkita/</w:t>
            </w:r>
          </w:p>
        </w:tc>
      </w:tr>
      <w:tr>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2021</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Hutan Lindung</w:t>
            </w:r>
          </w:p>
        </w:tc>
        <w:tc>
          <w:tcPr>
            <w:tcW w:type="dxa" w:w="3175"/>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Konflik Tenurial di Kawasan Suaka Margasatwa Karang Gading</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data/raw/konflik_kpa_ylbhi_tanahkita/</w:t>
            </w:r>
          </w:p>
        </w:tc>
      </w:tr>
      <w:tr>
        <w:tc>
          <w:tcPr>
            <w:tcW w:type="dxa" w:w="907"/>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2019</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Pertambangan</w:t>
            </w:r>
          </w:p>
        </w:tc>
        <w:tc>
          <w:tcPr>
            <w:tcW w:type="dxa" w:w="3175"/>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Konflik antara warga Kabupaten Konawe Kepulauan dengan PT Gema Kreasi Persada, pertambangan</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data/raw/konflik_kpa_ylbhi_tanahkita/</w:t>
            </w:r>
          </w:p>
        </w:tc>
      </w:tr>
      <w:tr>
        <w:tc>
          <w:tcPr>
            <w:tcW w:type="dxa" w:w="907"/>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2018</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Gorontalo</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Hutan Produksi</w:t>
            </w:r>
          </w:p>
        </w:tc>
        <w:tc>
          <w:tcPr>
            <w:tcW w:type="dxa" w:w="3175"/>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Warga Desa Bongo dan PT PG Gorontalo Berebut Lahan</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data/raw/konflik_kpa_ylbhi_tanahkita/</w:t>
            </w:r>
          </w:p>
        </w:tc>
      </w:tr>
    </w:tbl>
    <w:p>
      <w:pPr>
        <w:spacing w:after="80"/>
      </w:pPr>
    </w:p>
    <w:p>
      <w:pPr>
        <w:spacing w:before="160" w:after="40"/>
      </w:pPr>
      <w:r>
        <w:rPr>
          <w:b/>
          <w:i w:val="0"/>
          <w:color w:val="2E7D32"/>
          <w:sz w:val="19"/>
        </w:rPr>
        <w:t>E. Analisis Temuan Empiris: Impunitas dan Pembiaran Struktural</w:t>
      </w:r>
    </w:p>
    <w:p>
      <w:pPr>
        <w:spacing w:after="100"/>
        <w:jc w:val="both"/>
      </w:pPr>
      <w:r>
        <w:rPr>
          <w:b/>
          <w:i w:val="0"/>
          <w:color w:val="222222"/>
          <w:sz w:val="19"/>
        </w:rPr>
        <w:t xml:space="preserve">1. </w:t>
      </w:r>
      <w:r>
        <w:rPr>
          <w:b/>
          <w:i w:val="0"/>
          <w:color w:val="222222"/>
          <w:sz w:val="19"/>
        </w:rPr>
        <w:t xml:space="preserve">Bukti Impunitas Hukum: </w:t>
      </w:r>
      <w:r>
        <w:rPr>
          <w:b w:val="0"/>
          <w:i w:val="0"/>
          <w:color w:val="222222"/>
          <w:sz w:val="19"/>
        </w:rPr>
        <w:t>Database kompilasi LSM/KPA mendokumentasikan 32 kasus konflik/pelanggaran yang dibiarkan di Sulawesi (17 kasus pada dekade 2014-2023), di mana korporasi yang terbukti bermasalah secara hukum tetap dipertahankan keberadaan operasinya.</w:t>
        <w:br/>
      </w:r>
      <w:r>
        <w:rPr>
          <w:b/>
          <w:i w:val="0"/>
          <w:color w:val="222222"/>
          <w:sz w:val="19"/>
        </w:rPr>
        <w:t xml:space="preserve">2. </w:t>
      </w:r>
      <w:r>
        <w:rPr>
          <w:b/>
          <w:i w:val="0"/>
          <w:color w:val="222222"/>
          <w:sz w:val="19"/>
        </w:rPr>
        <w:t xml:space="preserve">Dominasi Sektor Ekstraktif: </w:t>
      </w:r>
      <w:r>
        <w:rPr>
          <w:b w:val="0"/>
          <w:i w:val="0"/>
          <w:color w:val="222222"/>
          <w:sz w:val="19"/>
        </w:rPr>
        <w:t>Sektor Pertambangan menjadi penyebab konflik terbanyak dengan 11 kasus (34.4%), disusul Perkebunan (6 kasus) — konsisten dengan pola tekanan ekspansi industri ekstraktif pada bab-bab sebelumnya.</w:t>
        <w:br/>
      </w:r>
      <w:r>
        <w:rPr>
          <w:b/>
          <w:i w:val="0"/>
          <w:color w:val="222222"/>
          <w:sz w:val="19"/>
        </w:rPr>
        <w:t xml:space="preserve">3. </w:t>
      </w:r>
      <w:r>
        <w:rPr>
          <w:b/>
          <w:i w:val="0"/>
          <w:color w:val="222222"/>
          <w:sz w:val="19"/>
        </w:rPr>
        <w:t xml:space="preserve">Konsentrasi Spasial: </w:t>
      </w:r>
      <w:r>
        <w:rPr>
          <w:b w:val="0"/>
          <w:i w:val="0"/>
          <w:color w:val="222222"/>
          <w:sz w:val="19"/>
        </w:rPr>
        <w:t>Provinsi Sulawesi Tenggara mencatat kasus terbanyak (8 kasus). Temuan ini menegaskan pentingnya penguatan koordinasi antar-instansi, penegakan sanksi administratif yang konsisten, serta penyelesaian sengketa tenurial secara adil.</w:t>
      </w:r>
    </w:p>
    <w:p>
      <w:pPr>
        <w:spacing w:before="240" w:after="80"/>
        <w:pBdr>
          <w:bottom w:val="single" w:sz="6" w:space="2" w:color="2E7D32"/>
        </w:pBdr>
      </w:pPr>
      <w:r>
        <w:rPr>
          <w:b/>
          <w:i w:val="0"/>
          <w:color w:val="2E7D32"/>
          <w:sz w:val="22"/>
        </w:rPr>
        <w:t>7.3 INKONSISTENSI IKLIM: KARPET MERAH PLTU CAPTIVE</w:t>
      </w:r>
    </w:p>
    <w:p>
      <w:pPr>
        <w:spacing w:before="120" w:after="120"/>
        <w:ind w:left="200"/>
        <w:pBdr>
          <w:left w:val="single" w:sz="16" w:space="6" w:color="2E7D32"/>
        </w:pBdr>
        <w:shd w:val="clear" w:color="auto" w:fill="F1F8E9"/>
      </w:pPr>
      <w:r>
        <w:rPr>
          <w:b/>
          <w:i w:val="0"/>
          <w:color w:val="1B5E20"/>
          <w:sz w:val="17"/>
        </w:rPr>
        <w:t xml:space="preserve">SUMBER DATA RESMI &amp; DESKRIPSI VISUALISASI: </w:t>
      </w:r>
      <w:r>
        <w:rPr>
          <w:b w:val="0"/>
          <w:i/>
          <w:color w:val="333333"/>
          <w:sz w:val="17"/>
        </w:rPr>
        <w:t>Data PLTU Captive: data/processed/sulawesi_pltu_captive.csv (Global Coal Plant Tracker / GEM, ekstraksi Januari 2026). Visualisasi dashboard menampilkan metrik total unit dan kapasitas pembangkitan kotor, Line Chart timeline pertumbuhan kapasitas kumulatif per provinsi hingga 2024, serta daftar lengkap unit PLTU batubara captive.</w:t>
      </w:r>
    </w:p>
    <w:p>
      <w:pPr>
        <w:spacing w:before="160" w:after="40"/>
      </w:pPr>
      <w:r>
        <w:rPr>
          <w:b/>
          <w:i w:val="0"/>
          <w:color w:val="2E7D32"/>
          <w:sz w:val="19"/>
        </w:rPr>
        <w:t>A. Pengantar &amp; Kerangka Narasi</w:t>
      </w:r>
    </w:p>
    <w:p>
      <w:pPr>
        <w:spacing w:after="100"/>
        <w:jc w:val="both"/>
      </w:pPr>
      <w:r>
        <w:rPr>
          <w:b w:val="0"/>
          <w:i w:val="0"/>
          <w:color w:val="222222"/>
          <w:sz w:val="19"/>
        </w:rPr>
        <w:t xml:space="preserve">Komitmen transisi energi global dan pengembangan rantai pasok industri nikel memegang peranan strategis. Di saat yang sama, pemenuhan kebutuhan energi untuk fasilitas pengolahan nikel (smelter) di Sulawesi masih didominasi oleh Pembangkit Listrik Tenaga Uap (PLTU) Batubara Captive. </w:t>
      </w:r>
      <w:r>
        <w:rPr>
          <w:b w:val="0"/>
          <w:i w:val="0"/>
          <w:color w:val="222222"/>
          <w:sz w:val="19"/>
        </w:rPr>
        <w:t>Data dari Global Coal Plant Tracker (GEM) mencatat keberadaan 67 unit PLTU Captive yang beroperasi maupun direncanakan di kawasan industri Sulawesi dengan total kapasitas pembangkitan 12,245 MW. Pemanfaatan energi berbasis batu bara pada industri ini menghasilkan tantangan tersendiri bagi pengelolaan emisi gas rumah kaca dan kualitas udara ambien.</w:t>
      </w:r>
    </w:p>
    <w:p>
      <w:pPr>
        <w:spacing w:after="100"/>
        <w:jc w:val="both"/>
      </w:pPr>
      <w:r>
        <w:rPr>
          <w:b w:val="0"/>
          <w:i w:val="0"/>
          <w:color w:val="222222"/>
          <w:sz w:val="19"/>
        </w:rPr>
        <w:t>Kondisi ini menunjukkan perlunya strategi percepatan transisi energi bersih di sektor industri ekstraktif guna menyelaraskan target hilirisasi dengan komitmen penurunan emisi nasional.</w:t>
      </w:r>
    </w:p>
    <w:p>
      <w:pPr>
        <w:spacing w:before="160" w:after="40"/>
      </w:pPr>
      <w:r>
        <w:rPr>
          <w:b/>
          <w:i w:val="0"/>
          <w:color w:val="2E7D32"/>
          <w:sz w:val="19"/>
        </w:rPr>
        <w:t>B. Alur Logika Metodologis Agregasi Beban Karbon PLTU Captive</w:t>
      </w:r>
    </w:p>
    <w:p>
      <w:pPr>
        <w:spacing w:after="100"/>
        <w:jc w:val="both"/>
      </w:pPr>
      <w:r>
        <w:rPr>
          <w:b w:val="0"/>
          <w:i w:val="0"/>
          <w:color w:val="222222"/>
          <w:sz w:val="19"/>
        </w:rPr>
        <w:t xml:space="preserve">Kerangka inventarisasi agregat kuantitatif (Quantitative Inventory Aggregation) dari database global PLTU batubara captive diilustrasikan pada </w:t>
      </w:r>
      <w:r>
        <w:rPr>
          <w:b/>
          <w:i w:val="0"/>
          <w:color w:val="222222"/>
          <w:sz w:val="19"/>
        </w:rPr>
        <w:t>Bagan Alur 7.3</w:t>
      </w:r>
      <w:r>
        <w:rPr>
          <w:b w:val="0"/>
          <w:i w:val="0"/>
          <w:color w:val="222222"/>
          <w:sz w:val="19"/>
        </w:rPr>
        <w:t xml:space="preserve"> berikut. Sub-bab ini tidak menggunakan uji inferensial Chi-Square, melainkan penyaringan agregat dataset eksternal deskriptif.</w:t>
      </w:r>
    </w:p>
    <w:p>
      <w:pPr>
        <w:spacing w:before="120" w:after="40"/>
      </w:pPr>
      <w:r>
        <w:rPr>
          <w:b/>
          <w:i/>
          <w:color w:val="2E7D32"/>
          <w:sz w:val="17"/>
        </w:rPr>
        <w:t>Bagan Alur 7.3: Alur Logika Analisis Agregasi Beban Karbon PLTU Captive (GEM)</w:t>
      </w:r>
    </w:p>
    <w:p>
      <w:pPr>
        <w:jc w:val="center"/>
      </w:pPr>
      <w:r>
        <w:drawing>
          <wp:inline xmlns:a="http://schemas.openxmlformats.org/drawingml/2006/main" xmlns:pic="http://schemas.openxmlformats.org/drawingml/2006/picture">
            <wp:extent cx="5400000" cy="1188392"/>
            <wp:docPr id="3" name="Picture 3"/>
            <wp:cNvGraphicFramePr>
              <a:graphicFrameLocks noChangeAspect="1"/>
            </wp:cNvGraphicFramePr>
            <a:graphic>
              <a:graphicData uri="http://schemas.openxmlformats.org/drawingml/2006/picture">
                <pic:pic>
                  <pic:nvPicPr>
                    <pic:cNvPr id="0" name="mermaid_flowchart_7_3.png"/>
                    <pic:cNvPicPr/>
                  </pic:nvPicPr>
                  <pic:blipFill>
                    <a:blip r:embed="rId11"/>
                    <a:stretch>
                      <a:fillRect/>
                    </a:stretch>
                  </pic:blipFill>
                  <pic:spPr>
                    <a:xfrm>
                      <a:off x="0" y="0"/>
                      <a:ext cx="5400000" cy="1188392"/>
                    </a:xfrm>
                    <a:prstGeom prst="rect"/>
                  </pic:spPr>
                </pic:pic>
              </a:graphicData>
            </a:graphic>
          </wp:inline>
        </w:drawing>
      </w:r>
    </w:p>
    <w:p>
      <w:pPr>
        <w:spacing w:before="160" w:after="40"/>
      </w:pPr>
      <w:r>
        <w:rPr>
          <w:b/>
          <w:i w:val="0"/>
          <w:color w:val="2E7D32"/>
          <w:sz w:val="19"/>
        </w:rPr>
        <w:t>C. Formulasi Matematis: Inventarisasi Unit, Beban Karbon, dan Timeline Kumulatif</w:t>
      </w:r>
    </w:p>
    <w:p>
      <w:pPr>
        <w:spacing w:after="100"/>
        <w:jc w:val="both"/>
      </w:pPr>
      <w:r>
        <w:rPr>
          <w:b w:val="0"/>
          <w:i w:val="0"/>
          <w:color w:val="222222"/>
          <w:sz w:val="19"/>
        </w:rPr>
        <w:t>Kuantifikasi kontradiksi karbon dihitung menggunakan sistem formulasi matematis berikut:</w:t>
      </w:r>
    </w:p>
    <w:p>
      <w:pPr>
        <w:spacing w:before="120" w:after="20"/>
      </w:pPr>
      <w:r>
        <w:rPr>
          <w:b/>
          <w:i/>
          <w:color w:val="2E7D32"/>
          <w:sz w:val="17"/>
        </w:rPr>
        <w:t>Persamaan: Persamaan Total Infrastruktur Kotor</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Total_Infrastruktur_Kotor = Σ ( Unit_u )   ;   untuk seluruh unit PLTU captive u di kawasan industri Sulawesi</w:t>
      </w:r>
    </w:p>
    <w:p>
      <w:pPr>
        <w:spacing w:after="120"/>
        <w:ind w:left="280"/>
      </w:pPr>
      <w:r>
        <w:rPr>
          <w:b/>
          <w:i/>
          <w:color w:val="333333"/>
          <w:sz w:val="16"/>
        </w:rPr>
        <w:t>Keterangan Variabel:</w:t>
        <w:br/>
      </w:r>
      <w:r>
        <w:rPr>
          <w:b/>
          <w:i w:val="0"/>
          <w:color w:val="1B5E20"/>
          <w:sz w:val="16"/>
        </w:rPr>
        <w:t xml:space="preserve">- Total_Infrastruktur_Kotor: </w:t>
      </w:r>
      <w:r>
        <w:rPr>
          <w:b w:val="0"/>
          <w:i w:val="0"/>
          <w:color w:val="444444"/>
          <w:sz w:val="16"/>
        </w:rPr>
        <w:t>Jumlah agregat unit pembangkit batubara captive (beroperasi, dibangun, maupun direncanakan).</w:t>
        <w:br/>
      </w:r>
      <w:r>
        <w:rPr>
          <w:b/>
          <w:i w:val="0"/>
          <w:color w:val="1B5E20"/>
          <w:sz w:val="16"/>
        </w:rPr>
        <w:t xml:space="preserve">- Unit_u: </w:t>
      </w:r>
      <w:r>
        <w:rPr>
          <w:b w:val="0"/>
          <w:i w:val="0"/>
          <w:color w:val="444444"/>
          <w:sz w:val="16"/>
        </w:rPr>
        <w:t>Satu unit pembangkit pada inventaris Global Coal Plant Tracker.</w:t>
      </w:r>
    </w:p>
    <w:p>
      <w:pPr>
        <w:spacing w:before="120" w:after="20"/>
      </w:pPr>
      <w:r>
        <w:rPr>
          <w:b/>
          <w:i/>
          <w:color w:val="2E7D32"/>
          <w:sz w:val="17"/>
        </w:rPr>
        <w:t>Persamaan: Persamaan Total Beban Karbon per Provinsi</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Total_Beban_Karbon_p = Σ ( Kapasitas_u )   ;   untuk seluruh unit u pada provinsi p</w:t>
      </w:r>
    </w:p>
    <w:p>
      <w:pPr>
        <w:spacing w:after="120"/>
        <w:ind w:left="280"/>
      </w:pPr>
      <w:r>
        <w:rPr>
          <w:b/>
          <w:i/>
          <w:color w:val="333333"/>
          <w:sz w:val="16"/>
        </w:rPr>
        <w:t>Keterangan Variabel:</w:t>
        <w:br/>
      </w:r>
      <w:r>
        <w:rPr>
          <w:b/>
          <w:i w:val="0"/>
          <w:color w:val="1B5E20"/>
          <w:sz w:val="16"/>
        </w:rPr>
        <w:t xml:space="preserve">- Total_Beban_Karbon_p: </w:t>
      </w:r>
      <w:r>
        <w:rPr>
          <w:b w:val="0"/>
          <w:i w:val="0"/>
          <w:color w:val="444444"/>
          <w:sz w:val="16"/>
        </w:rPr>
        <w:t>Agregat luaran listrik kotor (MW) yang menopang pabrik pemurnian nikel pada provinsi p.</w:t>
        <w:br/>
      </w:r>
      <w:r>
        <w:rPr>
          <w:b/>
          <w:i w:val="0"/>
          <w:color w:val="1B5E20"/>
          <w:sz w:val="16"/>
        </w:rPr>
        <w:t xml:space="preserve">- Kapasitas_u: </w:t>
      </w:r>
      <w:r>
        <w:rPr>
          <w:b w:val="0"/>
          <w:i w:val="0"/>
          <w:color w:val="444444"/>
          <w:sz w:val="16"/>
        </w:rPr>
        <w:t>Kapasitas terpasang (MW) unit pembangkit u.</w:t>
      </w:r>
    </w:p>
    <w:p>
      <w:pPr>
        <w:spacing w:before="120" w:after="20"/>
      </w:pPr>
      <w:r>
        <w:rPr>
          <w:b/>
          <w:i/>
          <w:color w:val="2E7D32"/>
          <w:sz w:val="17"/>
        </w:rPr>
        <w:t>Persamaan: Persamaan Timeline Kumulatif Kapasitas</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Kumulatif_Kapasitas_p(T) = Σ Kapasitas_p(t)   ;   untuk t = tahun operasi awal s.d. T (T ≤ 2024)</w:t>
      </w:r>
    </w:p>
    <w:p>
      <w:pPr>
        <w:spacing w:after="120"/>
        <w:ind w:left="280"/>
      </w:pPr>
      <w:r>
        <w:rPr>
          <w:b/>
          <w:i/>
          <w:color w:val="333333"/>
          <w:sz w:val="16"/>
        </w:rPr>
        <w:t>Keterangan Variabel:</w:t>
        <w:br/>
      </w:r>
      <w:r>
        <w:rPr>
          <w:b/>
          <w:i w:val="0"/>
          <w:color w:val="1B5E20"/>
          <w:sz w:val="16"/>
        </w:rPr>
        <w:t xml:space="preserve">- Kumulatif_Kapasitas_p(T): </w:t>
      </w:r>
      <w:r>
        <w:rPr>
          <w:b w:val="0"/>
          <w:i w:val="0"/>
          <w:color w:val="444444"/>
          <w:sz w:val="16"/>
        </w:rPr>
        <w:t>Akumulasi kapasitas PLTU captive provinsi p hingga tahun berjalan T berdasarkan Start Year unit.</w:t>
      </w:r>
    </w:p>
    <w:p>
      <w:pPr>
        <w:spacing w:after="100"/>
        <w:jc w:val="both"/>
      </w:pPr>
      <w:r>
        <w:rPr>
          <w:b w:val="0"/>
          <w:i w:val="0"/>
          <w:color w:val="222222"/>
          <w:sz w:val="19"/>
        </w:rPr>
        <w:t>Substitusi angka dari dataset aktual ke dalam rumus inventarisasi adalah sebagai berikut:</w:t>
      </w:r>
    </w:p>
    <w:p>
      <w:pPr>
        <w:spacing w:before="120" w:after="20"/>
      </w:pPr>
      <w:r>
        <w:rPr>
          <w:b/>
          <w:i/>
          <w:color w:val="2E7D32"/>
          <w:sz w:val="17"/>
        </w:rPr>
        <w:t>Persamaan: Substitusi Total Infrastruktur &amp; Beban Karbon</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Total_Infrastruktur_Kotor = 67 unit   ;   Total_Beban_Karbon = 12,245 MW</w:t>
      </w:r>
    </w:p>
    <w:p>
      <w:pPr>
        <w:spacing w:before="120" w:after="20"/>
      </w:pPr>
      <w:r>
        <w:rPr>
          <w:b/>
          <w:i/>
          <w:color w:val="2E7D32"/>
          <w:sz w:val="17"/>
        </w:rPr>
        <w:t>Persamaan: Substitusi Beban Karbon Provinsi Tertinggi</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Total_Beban_Karbon_Sulawesi_Tengah = 9,365 MW (76.5% dari total)</w:t>
      </w:r>
    </w:p>
    <w:p>
      <w:pPr>
        <w:spacing w:before="120" w:after="20"/>
      </w:pPr>
      <w:r>
        <w:rPr>
          <w:b/>
          <w:i/>
          <w:color w:val="2E7D32"/>
          <w:sz w:val="17"/>
        </w:rPr>
        <w:t>Persamaan: Substitusi Komposisi Status Unit</w:t>
      </w:r>
    </w:p>
    <w:p>
      <w:pPr>
        <w:spacing w:after="40"/>
        <w:ind w:left="240"/>
        <w:shd w:val="clear" w:color="auto" w:fill="EDF7EE"/>
        <w:pBdr>
          <w:top w:val="single" w:sz="4" w:space="4" w:color="A5D6A7"/>
          <w:left w:val="single" w:sz="4" w:space="4" w:color="A5D6A7"/>
          <w:bottom w:val="single" w:sz="4" w:space="4" w:color="A5D6A7"/>
          <w:right w:val="single" w:sz="4" w:space="4" w:color="A5D6A7"/>
        </w:pBdr>
      </w:pPr>
      <w:r>
        <w:rPr>
          <w:rFonts w:ascii="Courier New" w:hAnsi="Courier New"/>
          <w:b w:val="0"/>
          <w:i w:val="0"/>
          <w:color w:val="1B5E20"/>
          <w:sz w:val="17"/>
        </w:rPr>
        <w:t>Operating = 55 unit (9,825 MW)   ;   Non-Operating (konstruksi/rencana/shelved/cancelled) = 12 unit</w:t>
      </w:r>
    </w:p>
    <w:p>
      <w:pPr>
        <w:spacing w:before="160" w:after="40"/>
      </w:pPr>
      <w:r>
        <w:rPr>
          <w:b/>
          <w:i w:val="0"/>
          <w:color w:val="2E7D32"/>
          <w:sz w:val="19"/>
        </w:rPr>
        <w:t>D. Matriks Hasil Uji Empiris: Beban Karbon per Provinsi, Timeline, dan Unit Terbesar</w:t>
      </w:r>
    </w:p>
    <w:p>
      <w:pPr>
        <w:spacing w:after="100"/>
        <w:jc w:val="both"/>
      </w:pPr>
      <w:r>
        <w:rPr>
          <w:b w:val="0"/>
          <w:i w:val="0"/>
          <w:color w:val="222222"/>
          <w:sz w:val="19"/>
        </w:rPr>
        <w:t xml:space="preserve">Agregat unit dan kapasitas PLTU captive per provinsi disajikan pada </w:t>
      </w:r>
      <w:r>
        <w:rPr>
          <w:b/>
          <w:i w:val="0"/>
          <w:color w:val="222222"/>
          <w:sz w:val="19"/>
        </w:rPr>
        <w:t>Tabel 7.6</w:t>
      </w:r>
      <w:r>
        <w:rPr>
          <w:b w:val="0"/>
          <w:i w:val="0"/>
          <w:color w:val="222222"/>
          <w:sz w:val="19"/>
        </w:rPr>
        <w:t xml:space="preserve"> berikut:</w:t>
      </w:r>
    </w:p>
    <w:p>
      <w:pPr>
        <w:spacing w:before="120" w:after="40"/>
      </w:pPr>
      <w:r>
        <w:rPr>
          <w:b/>
          <w:i/>
          <w:color w:val="2E7D32"/>
          <w:sz w:val="17"/>
        </w:rPr>
        <w:t>Tabel 7.6: Agregat Unit dan Kapasitas PLTU Captive per Provinsi (Total 12,245 MW)</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381"/>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Provinsi</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Jumlah Unit</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Kapasitas (MW)</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Proporsi (%)</w:t>
            </w:r>
          </w:p>
        </w:tc>
      </w:tr>
      <w:tr>
        <w:tc>
          <w:tcPr>
            <w:tcW w:type="dxa" w:w="238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44</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9,365</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76.5%</w:t>
            </w:r>
          </w:p>
        </w:tc>
      </w:tr>
      <w:tr>
        <w:tc>
          <w:tcPr>
            <w:tcW w:type="dxa" w:w="2381"/>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13</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2,280</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18.6%</w:t>
            </w:r>
          </w:p>
        </w:tc>
      </w:tr>
      <w:tr>
        <w:tc>
          <w:tcPr>
            <w:tcW w:type="dxa" w:w="2381"/>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Selatan</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600</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4.9%</w:t>
            </w:r>
          </w:p>
        </w:tc>
      </w:tr>
    </w:tbl>
    <w:p>
      <w:pPr>
        <w:spacing w:after="80"/>
      </w:pPr>
    </w:p>
    <w:p>
      <w:pPr>
        <w:spacing w:after="100"/>
        <w:jc w:val="both"/>
      </w:pPr>
      <w:r>
        <w:rPr>
          <w:b w:val="0"/>
          <w:i w:val="0"/>
          <w:color w:val="222222"/>
          <w:sz w:val="19"/>
        </w:rPr>
        <w:t xml:space="preserve">Timeline pertumbuhan kapasitas kumulatif per provinsi hingga 2024 disajikan pada </w:t>
      </w:r>
      <w:r>
        <w:rPr>
          <w:b/>
          <w:i w:val="0"/>
          <w:color w:val="222222"/>
          <w:sz w:val="19"/>
        </w:rPr>
        <w:t>Tabel 7.7</w:t>
      </w:r>
      <w:r>
        <w:rPr>
          <w:b w:val="0"/>
          <w:i w:val="0"/>
          <w:color w:val="222222"/>
          <w:sz w:val="19"/>
        </w:rPr>
        <w:t xml:space="preserve"> berikut:</w:t>
      </w:r>
    </w:p>
    <w:p>
      <w:pPr>
        <w:spacing w:before="120" w:after="40"/>
      </w:pPr>
      <w:r>
        <w:rPr>
          <w:b/>
          <w:i/>
          <w:color w:val="2E7D32"/>
          <w:sz w:val="17"/>
        </w:rPr>
        <w:t>Tabel 7.7: Timeline Pertumbuhan Kapasitas Kumulatif PLTU Captive per Provinsi (MW, s.d. 2024)</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020"/>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Tahun</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Sulawesi Selatan</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Sulawesi Tengah</w:t>
            </w:r>
          </w:p>
        </w:tc>
        <w:tc>
          <w:tcPr>
            <w:tcW w:type="dxa" w:w="170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Sulawesi Tenggara</w:t>
            </w:r>
          </w:p>
        </w:tc>
        <w:tc>
          <w:tcPr>
            <w:tcW w:type="dxa" w:w="147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Total (MW)</w:t>
            </w:r>
          </w:p>
        </w:tc>
      </w:tr>
      <w:tr>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2013</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70</w:t>
            </w:r>
          </w:p>
        </w:tc>
      </w:tr>
      <w:tr>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2014</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70</w:t>
            </w:r>
          </w:p>
        </w:tc>
      </w:tr>
      <w:tr>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2015</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130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200</w:t>
            </w:r>
          </w:p>
        </w:tc>
      </w:tr>
      <w:tr>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2016</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280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410</w:t>
            </w:r>
          </w:p>
        </w:tc>
      </w:tr>
      <w:tr>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2017</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980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1,110</w:t>
            </w:r>
          </w:p>
        </w:tc>
      </w:tr>
      <w:tr>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2018</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980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1,420</w:t>
            </w:r>
          </w:p>
        </w:tc>
      </w:tr>
      <w:tr>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2019</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1,680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2,340</w:t>
            </w:r>
          </w:p>
        </w:tc>
      </w:tr>
      <w:tr>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2,080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465</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3,145</w:t>
            </w:r>
          </w:p>
        </w:tc>
      </w:tr>
      <w:tr>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2021</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2,565</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1,520</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4,685</w:t>
            </w:r>
          </w:p>
        </w:tc>
      </w:tr>
      <w:tr>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2022</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3,850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1,900</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6,350</w:t>
            </w:r>
          </w:p>
        </w:tc>
      </w:tr>
      <w:tr>
        <w:tc>
          <w:tcPr>
            <w:tcW w:type="dxa" w:w="1020"/>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600</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5,885</w:t>
            </w:r>
          </w:p>
        </w:tc>
        <w:tc>
          <w:tcPr>
            <w:tcW w:type="dxa" w:w="170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1,900</w:t>
            </w:r>
          </w:p>
        </w:tc>
        <w:tc>
          <w:tcPr>
            <w:tcW w:type="dxa" w:w="147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8,385</w:t>
            </w:r>
          </w:p>
        </w:tc>
      </w:tr>
      <w:tr>
        <w:tc>
          <w:tcPr>
            <w:tcW w:type="dxa" w:w="1020"/>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2024</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600</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7,325</w:t>
            </w:r>
          </w:p>
        </w:tc>
        <w:tc>
          <w:tcPr>
            <w:tcW w:type="dxa" w:w="170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1,900</w:t>
            </w:r>
          </w:p>
        </w:tc>
        <w:tc>
          <w:tcPr>
            <w:tcW w:type="dxa" w:w="147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9,825</w:t>
            </w:r>
          </w:p>
        </w:tc>
      </w:tr>
    </w:tbl>
    <w:p>
      <w:pPr>
        <w:spacing w:after="80"/>
      </w:pPr>
    </w:p>
    <w:p>
      <w:pPr>
        <w:spacing w:after="100"/>
        <w:jc w:val="both"/>
      </w:pPr>
      <w:r>
        <w:rPr>
          <w:b w:val="0"/>
          <w:i w:val="0"/>
          <w:color w:val="222222"/>
          <w:sz w:val="19"/>
        </w:rPr>
        <w:t xml:space="preserve">Sepuluh unit pembangkit dengan kapasitas terbesar disajikan pada </w:t>
      </w:r>
      <w:r>
        <w:rPr>
          <w:b/>
          <w:i w:val="0"/>
          <w:color w:val="222222"/>
          <w:sz w:val="19"/>
        </w:rPr>
        <w:t>Tabel 7.8</w:t>
      </w:r>
      <w:r>
        <w:rPr>
          <w:b w:val="0"/>
          <w:i w:val="0"/>
          <w:color w:val="222222"/>
          <w:sz w:val="19"/>
        </w:rPr>
        <w:t xml:space="preserve"> berikut:</w:t>
      </w:r>
    </w:p>
    <w:p>
      <w:pPr>
        <w:spacing w:before="120" w:after="40"/>
      </w:pPr>
      <w:r>
        <w:rPr>
          <w:b/>
          <w:i/>
          <w:color w:val="2E7D32"/>
          <w:sz w:val="17"/>
        </w:rPr>
        <w:t>Tabel 7.8: Sepuluh Unit PLTU Captive Berkapasitas Terbesar di Sulawesi</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2268"/>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Nama Pembangkit</w:t>
            </w:r>
          </w:p>
        </w:tc>
        <w:tc>
          <w:tcPr>
            <w:tcW w:type="dxa" w:w="1134"/>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Unit</w:t>
            </w:r>
          </w:p>
        </w:tc>
        <w:tc>
          <w:tcPr>
            <w:tcW w:type="dxa" w:w="1587"/>
            <w:shd w:val="clear" w:color="auto" w:fill="2E7D32"/>
            <w:tcBorders>
              <w:top w:val="single" w:sz="4" w:color="D0D0D0" w:space="0"/>
              <w:left w:val="single" w:sz="4" w:color="D0D0D0" w:space="0"/>
              <w:bottom w:val="single" w:sz="4" w:color="D0D0D0" w:space="0"/>
              <w:right w:val="single" w:sz="4" w:color="D0D0D0" w:space="0"/>
            </w:tcBorders>
          </w:tcPr>
          <w:p>
            <w:pPr>
              <w:jc w:val="left"/>
            </w:pPr>
            <w:r>
              <w:rPr>
                <w:b/>
                <w:i w:val="0"/>
                <w:color w:val="FFFFFF"/>
                <w:sz w:val="17"/>
              </w:rPr>
              <w:t>Provinsi</w:t>
            </w:r>
          </w:p>
        </w:tc>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Kapasitas (MW)</w:t>
            </w:r>
          </w:p>
        </w:tc>
        <w:tc>
          <w:tcPr>
            <w:tcW w:type="dxa" w:w="1134"/>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Status</w:t>
            </w:r>
          </w:p>
        </w:tc>
        <w:tc>
          <w:tcPr>
            <w:tcW w:type="dxa" w:w="1361"/>
            <w:shd w:val="clear" w:color="auto" w:fill="2E7D32"/>
            <w:tcBorders>
              <w:top w:val="single" w:sz="4" w:color="D0D0D0" w:space="0"/>
              <w:left w:val="single" w:sz="4" w:color="D0D0D0" w:space="0"/>
              <w:bottom w:val="single" w:sz="4" w:color="D0D0D0" w:space="0"/>
              <w:right w:val="single" w:sz="4" w:color="D0D0D0" w:space="0"/>
            </w:tcBorders>
          </w:tcPr>
          <w:p>
            <w:pPr>
              <w:jc w:val="center"/>
            </w:pPr>
            <w:r>
              <w:rPr>
                <w:b/>
                <w:i w:val="0"/>
                <w:color w:val="FFFFFF"/>
                <w:sz w:val="17"/>
              </w:rPr>
              <w:t>Tahun Beroperasi</w:t>
            </w:r>
          </w:p>
        </w:tc>
      </w:tr>
      <w:tr>
        <w:tc>
          <w:tcPr>
            <w:tcW w:type="dxa" w:w="226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Labota power station</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Unit 4</w:t>
            </w:r>
          </w:p>
        </w:tc>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380</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operating</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r>
      <w:tr>
        <w:tc>
          <w:tcPr>
            <w:tcW w:type="dxa" w:w="226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Labota power station</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Unit 9</w:t>
            </w:r>
          </w:p>
        </w:tc>
        <w:tc>
          <w:tcPr>
            <w:tcW w:type="dxa" w:w="158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380</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operating</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2024</w:t>
            </w:r>
          </w:p>
        </w:tc>
      </w:tr>
      <w:tr>
        <w:tc>
          <w:tcPr>
            <w:tcW w:type="dxa" w:w="226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Labota power station</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Unit 8</w:t>
            </w:r>
          </w:p>
        </w:tc>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380</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operating</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2024</w:t>
            </w:r>
          </w:p>
        </w:tc>
      </w:tr>
      <w:tr>
        <w:tc>
          <w:tcPr>
            <w:tcW w:type="dxa" w:w="226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Delong Nickel Phase II power station</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Unit 10</w:t>
            </w:r>
          </w:p>
        </w:tc>
        <w:tc>
          <w:tcPr>
            <w:tcW w:type="dxa" w:w="158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380</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operating</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2021</w:t>
            </w:r>
          </w:p>
        </w:tc>
      </w:tr>
      <w:tr>
        <w:tc>
          <w:tcPr>
            <w:tcW w:type="dxa" w:w="226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Delong Nickel Phase II power station</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Unit 11</w:t>
            </w:r>
          </w:p>
        </w:tc>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380</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cancelled</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Belum Operasi</w:t>
            </w:r>
          </w:p>
        </w:tc>
      </w:tr>
      <w:tr>
        <w:tc>
          <w:tcPr>
            <w:tcW w:type="dxa" w:w="226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Labota power station</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Unit 7</w:t>
            </w:r>
          </w:p>
        </w:tc>
        <w:tc>
          <w:tcPr>
            <w:tcW w:type="dxa" w:w="158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380</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operating</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r>
      <w:tr>
        <w:tc>
          <w:tcPr>
            <w:tcW w:type="dxa" w:w="226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Labota power station</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Unit 3</w:t>
            </w:r>
          </w:p>
        </w:tc>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380</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operating</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r>
      <w:tr>
        <w:tc>
          <w:tcPr>
            <w:tcW w:type="dxa" w:w="226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Labota power station</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Unit 5</w:t>
            </w:r>
          </w:p>
        </w:tc>
        <w:tc>
          <w:tcPr>
            <w:tcW w:type="dxa" w:w="158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380</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operating</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r>
      <w:tr>
        <w:tc>
          <w:tcPr>
            <w:tcW w:type="dxa" w:w="2268"/>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Labota power station</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Unit 6</w:t>
            </w:r>
          </w:p>
        </w:tc>
        <w:tc>
          <w:tcPr>
            <w:tcW w:type="dxa" w:w="1587"/>
            <w:shd w:val="clear" w:color="auto" w:fill="F5FBF5"/>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Tengah</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380</w:t>
            </w:r>
          </w:p>
        </w:tc>
        <w:tc>
          <w:tcPr>
            <w:tcW w:type="dxa" w:w="1134"/>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operating</w:t>
            </w:r>
          </w:p>
        </w:tc>
        <w:tc>
          <w:tcPr>
            <w:tcW w:type="dxa" w:w="1361"/>
            <w:shd w:val="clear" w:color="auto" w:fill="F5FBF5"/>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2023</w:t>
            </w:r>
          </w:p>
        </w:tc>
      </w:tr>
      <w:tr>
        <w:tc>
          <w:tcPr>
            <w:tcW w:type="dxa" w:w="2268"/>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Delong Nickel Phase II power station</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Unit 09</w:t>
            </w:r>
          </w:p>
        </w:tc>
        <w:tc>
          <w:tcPr>
            <w:tcW w:type="dxa" w:w="1587"/>
            <w:shd w:val="clear" w:color="auto" w:fill="FFFFFF"/>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Sulawesi Tenggara</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380</w:t>
            </w:r>
          </w:p>
        </w:tc>
        <w:tc>
          <w:tcPr>
            <w:tcW w:type="dxa" w:w="1134"/>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operating</w:t>
            </w:r>
          </w:p>
        </w:tc>
        <w:tc>
          <w:tcPr>
            <w:tcW w:type="dxa" w:w="1361"/>
            <w:shd w:val="clear" w:color="auto" w:fill="FFFFFF"/>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2022</w:t>
            </w:r>
          </w:p>
        </w:tc>
      </w:tr>
    </w:tbl>
    <w:p>
      <w:pPr>
        <w:spacing w:after="80"/>
      </w:pPr>
    </w:p>
    <w:p>
      <w:pPr>
        <w:spacing w:before="160" w:after="40"/>
      </w:pPr>
      <w:r>
        <w:rPr>
          <w:b/>
          <w:i w:val="0"/>
          <w:color w:val="2E7D32"/>
          <w:sz w:val="19"/>
        </w:rPr>
        <w:t>E. Analisis Temuan Empiris: Paradoks Hilirisasi Hijau</w:t>
      </w:r>
    </w:p>
    <w:p>
      <w:pPr>
        <w:spacing w:after="100"/>
        <w:jc w:val="both"/>
      </w:pPr>
      <w:r>
        <w:rPr>
          <w:b/>
          <w:i w:val="0"/>
          <w:color w:val="222222"/>
          <w:sz w:val="19"/>
        </w:rPr>
        <w:t xml:space="preserve">1. </w:t>
      </w:r>
      <w:r>
        <w:rPr>
          <w:b/>
          <w:i w:val="0"/>
          <w:color w:val="222222"/>
          <w:sz w:val="19"/>
        </w:rPr>
        <w:t xml:space="preserve">Skala Infrastruktur Kotor: </w:t>
      </w:r>
      <w:r>
        <w:rPr>
          <w:b w:val="0"/>
          <w:i w:val="0"/>
          <w:color w:val="222222"/>
          <w:sz w:val="19"/>
        </w:rPr>
        <w:t>GEM mencatat 67 unit PLTU batubara captive di kawasan industri Sulawesi dengan total kapasitas 12,245 MW (55 unit beroperasi, 9,825 MW) — pembangkitan masif yang dibangun demi menopang pabrik pemurnian nikel yang dipromosikan sebagai proyek energi ramah lingkungan.</w:t>
        <w:br/>
      </w:r>
      <w:r>
        <w:rPr>
          <w:b/>
          <w:i w:val="0"/>
          <w:color w:val="222222"/>
          <w:sz w:val="19"/>
        </w:rPr>
        <w:t xml:space="preserve">2. </w:t>
      </w:r>
      <w:r>
        <w:rPr>
          <w:b/>
          <w:i w:val="0"/>
          <w:color w:val="222222"/>
          <w:sz w:val="19"/>
        </w:rPr>
        <w:t xml:space="preserve">Konsentrasi Beban Karbon: </w:t>
      </w:r>
      <w:r>
        <w:rPr>
          <w:b w:val="0"/>
          <w:i w:val="0"/>
          <w:color w:val="222222"/>
          <w:sz w:val="19"/>
        </w:rPr>
        <w:t>Provinsi Sulawesi Tengah menanggung beban karbon terbesar dengan 9,365 MW (76.5% dari total), sejalan dengan konsentrasi kawasan industri hilirisasi.</w:t>
        <w:br/>
      </w:r>
      <w:r>
        <w:rPr>
          <w:b/>
          <w:i w:val="0"/>
          <w:color w:val="222222"/>
          <w:sz w:val="19"/>
        </w:rPr>
        <w:t xml:space="preserve">3. </w:t>
      </w:r>
      <w:r>
        <w:rPr>
          <w:b/>
          <w:i w:val="0"/>
          <w:color w:val="222222"/>
          <w:sz w:val="19"/>
        </w:rPr>
        <w:t xml:space="preserve">Implikasi Transisi Energi: </w:t>
      </w:r>
      <w:r>
        <w:rPr>
          <w:b w:val="0"/>
          <w:i w:val="0"/>
          <w:color w:val="222222"/>
          <w:sz w:val="19"/>
        </w:rPr>
        <w:t>Kondisi ini menunjukkan perlunya strategi percepatan transisi energi bersih di sektor industri ekstraktif guna menyelaraskan target hilirisasi dengan komitmen penurunan emisi nasional.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