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2E7D32"/>
          <w:sz w:val="16"/>
        </w:rPr>
        <w:t>CELIOS - CENTER OF ECONOMIC AND LAW STUDIES  |  LAPORAN RISET METODOLOGI D3TLH</w:t>
      </w:r>
    </w:p>
    <w:p>
      <w:pPr>
        <w:spacing w:before="280" w:after="120"/>
        <w:pBdr>
          <w:bottom w:val="single" w:sz="12" w:space="2" w:color="1B5E20"/>
        </w:pBdr>
      </w:pPr>
      <w:r>
        <w:rPr>
          <w:b/>
          <w:i w:val="0"/>
          <w:color w:val="1B5E20"/>
          <w:sz w:val="26"/>
        </w:rPr>
        <w:t>BAB IX: METODOLOGI ANALISIS DEMOGRAFI SOSIAL - KETIKA HILIRISASI MENGUBAH STRUKTUR MASYARAKAT</w:t>
      </w:r>
    </w:p>
    <w:p>
      <w:pPr>
        <w:spacing w:after="100"/>
        <w:jc w:val="both"/>
      </w:pPr>
      <w:r>
        <w:rPr>
          <w:b w:val="0"/>
          <w:i w:val="0"/>
          <w:color w:val="222222"/>
          <w:sz w:val="19"/>
        </w:rPr>
        <w:t xml:space="preserve">Dokumen laporan metodologi ini menyajikan kerangka ilmiah, prosedur pengolahan data, dan pembacaan empiris yang dioperasionalkan pada </w:t>
      </w:r>
      <w:r>
        <w:rPr>
          <w:b/>
          <w:i w:val="0"/>
          <w:color w:val="222222"/>
          <w:sz w:val="19"/>
        </w:rPr>
        <w:t>Bab 9: Demografi Sosial - Ketika Hilirisasi Mengubah Struktur Masyarakat</w:t>
      </w:r>
      <w:r>
        <w:rPr>
          <w:b w:val="0"/>
          <w:i w:val="0"/>
          <w:color w:val="222222"/>
          <w:sz w:val="19"/>
        </w:rPr>
        <w:t xml:space="preserve"> dalam studi Daya Dukung dan Daya Tampung Lingkungan Hidup (D3TLH) Sulawesi.</w:t>
      </w:r>
    </w:p>
    <w:p>
      <w:pPr>
        <w:spacing w:before="240" w:after="80"/>
        <w:pBdr>
          <w:bottom w:val="single" w:sz="6" w:space="2" w:color="2E7D32"/>
        </w:pBdr>
      </w:pPr>
      <w:r>
        <w:rPr>
          <w:b/>
          <w:i w:val="0"/>
          <w:color w:val="2E7D32"/>
          <w:sz w:val="22"/>
        </w:rPr>
        <w:t>9.1 TEKANAN DEMOGRAFI DI KABUPATEN INDUSTRI EKSTRAKTIF</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Data Demografi: data/processed/sulawesi_demografi_master_fase4.csv (BPS SIMDASI, klasifikasi Fase 4). Visualisasi dashboard menampilkan Boxplot komparatif sebaran laju pertumbuhan penduduk YoY (kuantil Hazen, semua titik data ditampilkan) antara kabupaten industri ekstraktif dan non-ekstraktif, beserta Tabel Rincian Metrik Anatomi Boxplot dan Tabel Rincian Perhitungan Mean &amp; Varians.</w:t>
      </w:r>
    </w:p>
    <w:p>
      <w:pPr>
        <w:spacing w:before="160" w:after="40"/>
      </w:pPr>
      <w:r>
        <w:rPr>
          <w:b/>
          <w:i w:val="0"/>
          <w:color w:val="2E7D32"/>
          <w:sz w:val="19"/>
        </w:rPr>
        <w:t>A. Pengantar &amp; Kerangka Narasi</w:t>
      </w:r>
    </w:p>
    <w:p>
      <w:pPr>
        <w:spacing w:after="100"/>
        <w:jc w:val="both"/>
      </w:pPr>
      <w:r>
        <w:rPr>
          <w:b w:val="0"/>
          <w:i w:val="0"/>
          <w:color w:val="222222"/>
          <w:sz w:val="19"/>
        </w:rPr>
        <w:t xml:space="preserve">Analisis ini membaca tekanan demografi melalui perubahan jumlah penduduk kabupaten, bukan melalui data migrasi langsung. Dengan pendekatan ini, populasi diperlakukan sebagai sinyal awal: ketika kawasan smelter tumbuh lebih cepat dibanding pola umum wilayah sekitar, maka terdapat indikasi tarikan penduduk, pekerja, dan aktivitas ekonomi baru yang perlu diuji lebih lanjut. </w:t>
      </w:r>
      <w:r>
        <w:rPr>
          <w:b w:val="0"/>
          <w:i w:val="0"/>
          <w:color w:val="222222"/>
          <w:sz w:val="19"/>
        </w:rPr>
        <w:t xml:space="preserve">Fokus pembacaan ditempatkan pada 7 kabupaten prioritas smelter, yaitu Banggai, Kolaka, Konawe, Konawe Utara, Luwu Timur, Morowali, Morowali Utara. Dalam window data yang tersedia, rata-rata (mean) pertumbuhan YoY kabupaten smelter tercatat 3.36%, sedangkan wilayah non-smelter berada di sekitar 2.03%. Pada tahun 2024, total populasi kabupaten smelter mencapai 1.59 juta jiwa. </w:t>
      </w:r>
      <w:r>
        <w:rPr>
          <w:b w:val="0"/>
          <w:i w:val="0"/>
          <w:color w:val="222222"/>
          <w:sz w:val="19"/>
        </w:rPr>
        <w:t>Angka-angka ini tidak cukup untuk menyebut asal migran atau arah mobilitas penduduk, tetapi cukup kuat untuk menunjukkan bahwa hilirisasi nikel menciptakan tekanan demografis yang harus dibaca sebagai bagian dari beban sosial, bukan sekadar konsekuensi administratif pembangunan industri.</w:t>
      </w:r>
    </w:p>
    <w:p>
      <w:pPr>
        <w:spacing w:before="160" w:after="40"/>
      </w:pPr>
      <w:r>
        <w:rPr>
          <w:b/>
          <w:i w:val="0"/>
          <w:color w:val="2E7D32"/>
          <w:sz w:val="19"/>
        </w:rPr>
        <w:t>B. Alur Logika Metodologis Proxy Migrasi dari Time-Series Populasi Kabupaten</w:t>
      </w:r>
    </w:p>
    <w:p>
      <w:pPr>
        <w:spacing w:after="100"/>
        <w:jc w:val="both"/>
      </w:pPr>
      <w:r>
        <w:rPr>
          <w:b w:val="0"/>
          <w:i w:val="0"/>
          <w:color w:val="222222"/>
          <w:sz w:val="19"/>
        </w:rPr>
        <w:t xml:space="preserve">Kerangka pembacaan tekanan demografi berbasis proxy populasi dan anatomi boxplot diilustrasikan pada </w:t>
      </w:r>
      <w:r>
        <w:rPr>
          <w:b/>
          <w:i w:val="0"/>
          <w:color w:val="222222"/>
          <w:sz w:val="19"/>
        </w:rPr>
        <w:t>Bagan Alur 9.1</w:t>
      </w:r>
      <w:r>
        <w:rPr>
          <w:b w:val="0"/>
          <w:i w:val="0"/>
          <w:color w:val="222222"/>
          <w:sz w:val="19"/>
        </w:rPr>
        <w:t xml:space="preserve"> berikut. Sub-bab ini tidak menggunakan uji inferensial Chi-Square, melainkan statistika deskriptif sebaran (kuantil Hazen) komparatif dua kategori wilayah.</w:t>
      </w:r>
    </w:p>
    <w:p>
      <w:pPr>
        <w:spacing w:before="120" w:after="40"/>
      </w:pPr>
      <w:r>
        <w:rPr>
          <w:b/>
          <w:i/>
          <w:color w:val="2E7D32"/>
          <w:sz w:val="17"/>
        </w:rPr>
        <w:t>Bagan Alur 9.1: Alur Logika Analisis Proxy Migrasi &amp; Anatomi Boxplot Demografi</w:t>
      </w:r>
    </w:p>
    <w:p>
      <w:pPr>
        <w:jc w:val="center"/>
      </w:pPr>
      <w:r>
        <w:drawing>
          <wp:inline xmlns:a="http://schemas.openxmlformats.org/drawingml/2006/main" xmlns:pic="http://schemas.openxmlformats.org/drawingml/2006/picture">
            <wp:extent cx="5400000" cy="643803"/>
            <wp:docPr id="1" name="Picture 1"/>
            <wp:cNvGraphicFramePr>
              <a:graphicFrameLocks noChangeAspect="1"/>
            </wp:cNvGraphicFramePr>
            <a:graphic>
              <a:graphicData uri="http://schemas.openxmlformats.org/drawingml/2006/picture">
                <pic:pic>
                  <pic:nvPicPr>
                    <pic:cNvPr id="0" name="mermaid_flowchart_9_1.png"/>
                    <pic:cNvPicPr/>
                  </pic:nvPicPr>
                  <pic:blipFill>
                    <a:blip r:embed="rId9"/>
                    <a:stretch>
                      <a:fillRect/>
                    </a:stretch>
                  </pic:blipFill>
                  <pic:spPr>
                    <a:xfrm>
                      <a:off x="0" y="0"/>
                      <a:ext cx="5400000" cy="643803"/>
                    </a:xfrm>
                    <a:prstGeom prst="rect"/>
                  </pic:spPr>
                </pic:pic>
              </a:graphicData>
            </a:graphic>
          </wp:inline>
        </w:drawing>
      </w:r>
    </w:p>
    <w:p>
      <w:pPr>
        <w:spacing w:before="160" w:after="40"/>
      </w:pPr>
      <w:r>
        <w:rPr>
          <w:b/>
          <w:i w:val="0"/>
          <w:color w:val="2E7D32"/>
          <w:sz w:val="19"/>
        </w:rPr>
        <w:t>C. Formulasi Matematis: Laju Pertumbuhan, Kuantil Hazen, dan Batas Kewajaran</w:t>
      </w:r>
    </w:p>
    <w:p>
      <w:pPr>
        <w:spacing w:after="100"/>
        <w:jc w:val="both"/>
      </w:pPr>
      <w:r>
        <w:rPr>
          <w:b w:val="0"/>
          <w:i w:val="0"/>
          <w:color w:val="222222"/>
          <w:sz w:val="19"/>
        </w:rPr>
        <w:t>Kuantifikasi sebaran tekanan demografi dihitung menggunakan sistem formulasi matematis berikut:</w:t>
      </w:r>
    </w:p>
    <w:p>
      <w:pPr>
        <w:spacing w:before="120" w:after="20"/>
      </w:pPr>
      <w:r>
        <w:rPr>
          <w:b/>
          <w:i/>
          <w:color w:val="2E7D32"/>
          <w:sz w:val="17"/>
        </w:rPr>
        <w:t>Persamaan: Persamaan Laju Pertumbuhan Penduduk Year-on-Year</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Laju_YoY_k,t (%) = ( P_k,t - P_k,t-1 ) / P_k,t-1 × 100</w:t>
      </w:r>
    </w:p>
    <w:p>
      <w:pPr>
        <w:spacing w:after="120"/>
        <w:ind w:left="280"/>
      </w:pPr>
      <w:r>
        <w:rPr>
          <w:b/>
          <w:i/>
          <w:color w:val="333333"/>
          <w:sz w:val="16"/>
        </w:rPr>
        <w:t>Keterangan Variabel:</w:t>
        <w:br/>
      </w:r>
      <w:r>
        <w:rPr>
          <w:b/>
          <w:i w:val="0"/>
          <w:color w:val="1B5E20"/>
          <w:sz w:val="16"/>
        </w:rPr>
        <w:t xml:space="preserve">- Laju_YoY_k,t (%): </w:t>
      </w:r>
      <w:r>
        <w:rPr>
          <w:b w:val="0"/>
          <w:i w:val="0"/>
          <w:color w:val="444444"/>
          <w:sz w:val="16"/>
        </w:rPr>
        <w:t>Persentase perubahan jumlah penduduk kabupaten k dari tahun t-1 ke tahun t (unit observasi: kabupaten-tahun, window ≤ 2024).</w:t>
        <w:br/>
      </w:r>
      <w:r>
        <w:rPr>
          <w:b/>
          <w:i w:val="0"/>
          <w:color w:val="1B5E20"/>
          <w:sz w:val="16"/>
        </w:rPr>
        <w:t xml:space="preserve">- P_k,t: </w:t>
      </w:r>
      <w:r>
        <w:rPr>
          <w:b w:val="0"/>
          <w:i w:val="0"/>
          <w:color w:val="444444"/>
          <w:sz w:val="16"/>
        </w:rPr>
        <w:t>Jumlah penduduk kabupaten k pada tahun t (ribu jiwa, BPS SIMDASI).</w:t>
      </w:r>
    </w:p>
    <w:p>
      <w:pPr>
        <w:spacing w:before="120" w:after="20"/>
      </w:pPr>
      <w:r>
        <w:rPr>
          <w:b/>
          <w:i/>
          <w:color w:val="2E7D32"/>
          <w:sz w:val="17"/>
        </w:rPr>
        <w:t>Persamaan: Persamaan Kuartil Metode Hazen dan Rentang Interkuartil</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Q_p = Kuantil_Hazen ( Laju_YoY , p )   ;   IQR = Q3 - Q1</w:t>
      </w:r>
    </w:p>
    <w:p>
      <w:pPr>
        <w:spacing w:after="120"/>
        <w:ind w:left="280"/>
      </w:pPr>
      <w:r>
        <w:rPr>
          <w:b/>
          <w:i/>
          <w:color w:val="333333"/>
          <w:sz w:val="16"/>
        </w:rPr>
        <w:t>Keterangan Variabel:</w:t>
        <w:br/>
      </w:r>
      <w:r>
        <w:rPr>
          <w:b/>
          <w:i w:val="0"/>
          <w:color w:val="1B5E20"/>
          <w:sz w:val="16"/>
        </w:rPr>
        <w:t xml:space="preserve">- Q_p: </w:t>
      </w:r>
      <w:r>
        <w:rPr>
          <w:b w:val="0"/>
          <w:i w:val="0"/>
          <w:color w:val="444444"/>
          <w:sz w:val="16"/>
        </w:rPr>
        <w:t>Kuartil ke-p (Q1 = 0,25; Median = 0,50; Q3 = 0,75) dihitung dengan metode Hazen — algoritma yang identik dengan boxplot default Plotly pada dashboard.</w:t>
        <w:br/>
      </w:r>
      <w:r>
        <w:rPr>
          <w:b/>
          <w:i w:val="0"/>
          <w:color w:val="1B5E20"/>
          <w:sz w:val="16"/>
        </w:rPr>
        <w:t xml:space="preserve">- IQR: </w:t>
      </w:r>
      <w:r>
        <w:rPr>
          <w:b w:val="0"/>
          <w:i w:val="0"/>
          <w:color w:val="444444"/>
          <w:sz w:val="16"/>
        </w:rPr>
        <w:t>Interquartile Range: ketebalan kotak utama boxplot yang memuat 50% data inti.</w:t>
      </w:r>
    </w:p>
    <w:p>
      <w:pPr>
        <w:spacing w:before="120" w:after="20"/>
      </w:pPr>
      <w:r>
        <w:rPr>
          <w:b/>
          <w:i/>
          <w:color w:val="2E7D32"/>
          <w:sz w:val="17"/>
        </w:rPr>
        <w:t>Persamaan: Persamaan Batas Kewajaran Data (Fences) dan Pencilan</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Batas_Bawah = Q1 - 1,5 × IQR   ;   Batas_Atas = Q3 + 1,5 × IQR</w:t>
      </w:r>
    </w:p>
    <w:p>
      <w:pPr>
        <w:spacing w:after="120"/>
        <w:ind w:left="280"/>
      </w:pPr>
      <w:r>
        <w:rPr>
          <w:b/>
          <w:i/>
          <w:color w:val="333333"/>
          <w:sz w:val="16"/>
        </w:rPr>
        <w:t>Keterangan Variabel:</w:t>
        <w:br/>
      </w:r>
      <w:r>
        <w:rPr>
          <w:b/>
          <w:i w:val="0"/>
          <w:color w:val="1B5E20"/>
          <w:sz w:val="16"/>
        </w:rPr>
        <w:t xml:space="preserve">- Lower/Upper Fence: </w:t>
      </w:r>
      <w:r>
        <w:rPr>
          <w:b w:val="0"/>
          <w:i w:val="0"/>
          <w:color w:val="444444"/>
          <w:sz w:val="16"/>
        </w:rPr>
        <w:t>Titik data terdekat yang masih berada di dalam batas kewajaran; titik di luar batas diklasifikasikan sebagai pencilan (outlier).</w:t>
      </w:r>
    </w:p>
    <w:p>
      <w:pPr>
        <w:spacing w:after="100"/>
        <w:jc w:val="both"/>
      </w:pPr>
      <w:r>
        <w:rPr>
          <w:b w:val="0"/>
          <w:i w:val="0"/>
          <w:color w:val="222222"/>
          <w:sz w:val="19"/>
        </w:rPr>
        <w:t>Substitusi angka dari dataset aktual ke dalam rumus anatomi sebaran adalah sebagai berikut:</w:t>
      </w:r>
    </w:p>
    <w:p>
      <w:pPr>
        <w:spacing w:before="120" w:after="20"/>
      </w:pPr>
      <w:r>
        <w:rPr>
          <w:b/>
          <w:i/>
          <w:color w:val="2E7D32"/>
          <w:sz w:val="17"/>
        </w:rPr>
        <w:t>Persamaan: Substitusi Median &amp; IQR Kabupaten Ekstraktif</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Median = 2.00%   ;   Q1 = 1.50%   ;   Q3 = 2.78%   ;   IQR = 1.28</w:t>
      </w:r>
    </w:p>
    <w:p>
      <w:pPr>
        <w:spacing w:before="120" w:after="20"/>
      </w:pPr>
      <w:r>
        <w:rPr>
          <w:b/>
          <w:i/>
          <w:color w:val="2E7D32"/>
          <w:sz w:val="17"/>
        </w:rPr>
        <w:t>Persamaan: Substitusi Median &amp; IQR Kabupaten Non-Ekstraktif</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Median = 1.15%   ;   Q1 = 0.695%   ;   Q3 = 1.895%   ;   IQR = 1.200</w:t>
      </w:r>
    </w:p>
    <w:p>
      <w:pPr>
        <w:spacing w:before="120" w:after="20"/>
      </w:pPr>
      <w:r>
        <w:rPr>
          <w:b/>
          <w:i/>
          <w:color w:val="2E7D32"/>
          <w:sz w:val="17"/>
        </w:rPr>
        <w:t>Persamaan: Substitusi Fences &amp; Titik Ekstrem Kabupaten Ekstraktif</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Lower Fence = -0.10%   ;   Upper Fence = 4.22%   ;   Min = -7.76%   ;   Max = 20.34%</w:t>
      </w:r>
    </w:p>
    <w:p>
      <w:pPr>
        <w:spacing w:before="120" w:after="20"/>
      </w:pPr>
      <w:r>
        <w:rPr>
          <w:b/>
          <w:i/>
          <w:color w:val="2E7D32"/>
          <w:sz w:val="17"/>
        </w:rPr>
        <w:t>Persamaan: Substitusi Rata-rata YoY Dua Kategori</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Mean_Ekstraktif = 3.36% (N=39)   vs   Mean_Non-Ekstraktif = 2.03% (N=464)</w:t>
      </w:r>
    </w:p>
    <w:p>
      <w:pPr>
        <w:spacing w:before="160" w:after="40"/>
      </w:pPr>
      <w:r>
        <w:rPr>
          <w:b/>
          <w:i w:val="0"/>
          <w:color w:val="2E7D32"/>
          <w:sz w:val="19"/>
        </w:rPr>
        <w:t>D. Matriks Hasil Uji Empiris: Anatomi Boxplot dan Rincian Mean-Varians</w:t>
      </w:r>
    </w:p>
    <w:p>
      <w:pPr>
        <w:spacing w:after="100"/>
        <w:jc w:val="both"/>
      </w:pPr>
      <w:r>
        <w:rPr>
          <w:b w:val="0"/>
          <w:i w:val="0"/>
          <w:color w:val="222222"/>
          <w:sz w:val="19"/>
        </w:rPr>
        <w:t xml:space="preserve">Rincian metrik anatomi boxplot kedua kategori wilayah disajikan pada </w:t>
      </w:r>
      <w:r>
        <w:rPr>
          <w:b/>
          <w:i w:val="0"/>
          <w:color w:val="222222"/>
          <w:sz w:val="19"/>
        </w:rPr>
        <w:t>Tabel 9.1</w:t>
      </w:r>
      <w:r>
        <w:rPr>
          <w:b w:val="0"/>
          <w:i w:val="0"/>
          <w:color w:val="222222"/>
          <w:sz w:val="19"/>
        </w:rPr>
        <w:t xml:space="preserve"> berikut:</w:t>
      </w:r>
    </w:p>
    <w:p>
      <w:pPr>
        <w:spacing w:before="120" w:after="40"/>
      </w:pPr>
      <w:r>
        <w:rPr>
          <w:b/>
          <w:i/>
          <w:color w:val="2E7D32"/>
          <w:sz w:val="17"/>
        </w:rPr>
        <w:t>Tabel 9.1: Rincian Metrik Anatomi Boxplot Laju Pertumbuhan Penduduk (YoY %)</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2381"/>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6"/>
              </w:rPr>
              <w:t>Kategori</w:t>
            </w:r>
          </w:p>
        </w:tc>
        <w:tc>
          <w:tcPr>
            <w:tcW w:type="dxa" w:w="964"/>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Max (%)</w:t>
            </w:r>
          </w:p>
        </w:tc>
        <w:tc>
          <w:tcPr>
            <w:tcW w:type="dxa" w:w="1134"/>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Upper Fence (%)</w:t>
            </w:r>
          </w:p>
        </w:tc>
        <w:tc>
          <w:tcPr>
            <w:tcW w:type="dxa" w:w="907"/>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Q3 (%)</w:t>
            </w:r>
          </w:p>
        </w:tc>
        <w:tc>
          <w:tcPr>
            <w:tcW w:type="dxa" w:w="1020"/>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Median (%)</w:t>
            </w:r>
          </w:p>
        </w:tc>
        <w:tc>
          <w:tcPr>
            <w:tcW w:type="dxa" w:w="907"/>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Q1 (%)</w:t>
            </w:r>
          </w:p>
        </w:tc>
        <w:tc>
          <w:tcPr>
            <w:tcW w:type="dxa" w:w="1134"/>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Lower Fence (%)</w:t>
            </w:r>
          </w:p>
        </w:tc>
        <w:tc>
          <w:tcPr>
            <w:tcW w:type="dxa" w:w="964"/>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Min (%)</w:t>
            </w:r>
          </w:p>
        </w:tc>
      </w:tr>
      <w:tr>
        <w:tc>
          <w:tcPr>
            <w:tcW w:type="dxa" w:w="238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Kabupaten Industri Ekstraktif</w:t>
            </w:r>
          </w:p>
        </w:tc>
        <w:tc>
          <w:tcPr>
            <w:tcW w:type="dxa" w:w="96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20.34</w:t>
            </w:r>
          </w:p>
        </w:tc>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4.22</w:t>
            </w:r>
          </w:p>
        </w:tc>
        <w:tc>
          <w:tcPr>
            <w:tcW w:type="dxa" w:w="90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2.78</w:t>
            </w:r>
          </w:p>
        </w:tc>
        <w:tc>
          <w:tcPr>
            <w:tcW w:type="dxa" w:w="102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2.00</w:t>
            </w:r>
          </w:p>
        </w:tc>
        <w:tc>
          <w:tcPr>
            <w:tcW w:type="dxa" w:w="90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1.50</w:t>
            </w:r>
          </w:p>
        </w:tc>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-0.10</w:t>
            </w:r>
          </w:p>
        </w:tc>
        <w:tc>
          <w:tcPr>
            <w:tcW w:type="dxa" w:w="96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-7.76</w:t>
            </w:r>
          </w:p>
        </w:tc>
      </w:tr>
      <w:tr>
        <w:tc>
          <w:tcPr>
            <w:tcW w:type="dxa" w:w="238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Kabupaten Non-Ekstraktif</w:t>
            </w:r>
          </w:p>
        </w:tc>
        <w:tc>
          <w:tcPr>
            <w:tcW w:type="dxa" w:w="96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14.80</w:t>
            </w:r>
          </w:p>
        </w:tc>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3.61</w:t>
            </w:r>
          </w:p>
        </w:tc>
        <w:tc>
          <w:tcPr>
            <w:tcW w:type="dxa" w:w="90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1.90</w:t>
            </w:r>
          </w:p>
        </w:tc>
        <w:tc>
          <w:tcPr>
            <w:tcW w:type="dxa" w:w="102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1.15</w:t>
            </w:r>
          </w:p>
        </w:tc>
        <w:tc>
          <w:tcPr>
            <w:tcW w:type="dxa" w:w="90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0.69</w:t>
            </w:r>
          </w:p>
        </w:tc>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-0.89</w:t>
            </w:r>
          </w:p>
        </w:tc>
        <w:tc>
          <w:tcPr>
            <w:tcW w:type="dxa" w:w="96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-6.73</w:t>
            </w:r>
          </w:p>
        </w:tc>
      </w:tr>
    </w:tbl>
    <w:p>
      <w:pPr>
        <w:spacing w:after="80"/>
      </w:pPr>
    </w:p>
    <w:p>
      <w:pPr>
        <w:spacing w:after="100"/>
        <w:jc w:val="both"/>
      </w:pPr>
      <w:r>
        <w:rPr>
          <w:b w:val="0"/>
          <w:i w:val="0"/>
          <w:color w:val="222222"/>
          <w:sz w:val="19"/>
        </w:rPr>
        <w:t xml:space="preserve">Rincian perhitungan mean, deviasi standar, dan jumlah sampel disajikan pada </w:t>
      </w:r>
      <w:r>
        <w:rPr>
          <w:b/>
          <w:i w:val="0"/>
          <w:color w:val="222222"/>
          <w:sz w:val="19"/>
        </w:rPr>
        <w:t>Tabel 9.2</w:t>
      </w:r>
      <w:r>
        <w:rPr>
          <w:b w:val="0"/>
          <w:i w:val="0"/>
          <w:color w:val="222222"/>
          <w:sz w:val="19"/>
        </w:rPr>
        <w:t xml:space="preserve"> berikut:</w:t>
      </w:r>
    </w:p>
    <w:p>
      <w:pPr>
        <w:spacing w:before="120" w:after="40"/>
      </w:pPr>
      <w:r>
        <w:rPr>
          <w:b/>
          <w:i/>
          <w:color w:val="2E7D32"/>
          <w:sz w:val="17"/>
        </w:rPr>
        <w:t>Tabel 9.2: Rincian Perhitungan Mean &amp; Varians Laju Pertumbuhan YoY</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608"/>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6"/>
              </w:rPr>
              <w:t>Kategori</w:t>
            </w:r>
          </w:p>
        </w:tc>
        <w:tc>
          <w:tcPr>
            <w:tcW w:type="dxa" w:w="204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Rata-Rata / Mean (%)</w:t>
            </w:r>
          </w:p>
        </w:tc>
        <w:tc>
          <w:tcPr>
            <w:tcW w:type="dxa" w:w="1928"/>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Standard Deviation</w:t>
            </w:r>
          </w:p>
        </w:tc>
        <w:tc>
          <w:tcPr>
            <w:tcW w:type="dxa" w:w="2494"/>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Jumlah Sampel (Tahun-Kabupaten)</w:t>
            </w:r>
          </w:p>
        </w:tc>
      </w:tr>
      <w:tr>
        <w:tc>
          <w:tcPr>
            <w:tcW w:type="dxa" w:w="2608"/>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Kabupaten Industri Ekstraktif</w:t>
            </w:r>
          </w:p>
        </w:tc>
        <w:tc>
          <w:tcPr>
            <w:tcW w:type="dxa" w:w="204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3.36</w:t>
            </w:r>
          </w:p>
        </w:tc>
        <w:tc>
          <w:tcPr>
            <w:tcW w:type="dxa" w:w="1928"/>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5.68</w:t>
            </w:r>
          </w:p>
        </w:tc>
        <w:tc>
          <w:tcPr>
            <w:tcW w:type="dxa" w:w="249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39</w:t>
            </w:r>
          </w:p>
        </w:tc>
      </w:tr>
      <w:tr>
        <w:tc>
          <w:tcPr>
            <w:tcW w:type="dxa" w:w="2608"/>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Kabupaten Non-Ekstraktif</w:t>
            </w:r>
          </w:p>
        </w:tc>
        <w:tc>
          <w:tcPr>
            <w:tcW w:type="dxa" w:w="204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2.03</w:t>
            </w:r>
          </w:p>
        </w:tc>
        <w:tc>
          <w:tcPr>
            <w:tcW w:type="dxa" w:w="1928"/>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2.85</w:t>
            </w:r>
          </w:p>
        </w:tc>
        <w:tc>
          <w:tcPr>
            <w:tcW w:type="dxa" w:w="249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464</w:t>
            </w:r>
          </w:p>
        </w:tc>
      </w:tr>
    </w:tbl>
    <w:p>
      <w:pPr>
        <w:spacing w:after="80"/>
      </w:pPr>
    </w:p>
    <w:p>
      <w:pPr>
        <w:spacing w:after="100"/>
        <w:jc w:val="both"/>
      </w:pPr>
      <w:r>
        <w:rPr>
          <w:b w:val="0"/>
          <w:i w:val="0"/>
          <w:color w:val="222222"/>
          <w:sz w:val="19"/>
        </w:rPr>
        <w:t xml:space="preserve">Daftar 7 kabupaten prioritas industri ekstraktif yang menjadi fokus pembacaan disajikan pada </w:t>
      </w:r>
      <w:r>
        <w:rPr>
          <w:b/>
          <w:i w:val="0"/>
          <w:color w:val="222222"/>
          <w:sz w:val="19"/>
        </w:rPr>
        <w:t>Tabel 9.3</w:t>
      </w:r>
      <w:r>
        <w:rPr>
          <w:b w:val="0"/>
          <w:i w:val="0"/>
          <w:color w:val="222222"/>
          <w:sz w:val="19"/>
        </w:rPr>
        <w:t xml:space="preserve"> berikut:</w:t>
      </w:r>
    </w:p>
    <w:p>
      <w:pPr>
        <w:spacing w:before="120" w:after="40"/>
      </w:pPr>
      <w:r>
        <w:rPr>
          <w:b/>
          <w:i/>
          <w:color w:val="2E7D32"/>
          <w:sz w:val="17"/>
        </w:rPr>
        <w:t>Tabel 9.3: Daftar Kabupaten Prioritas Industri Ekstraktif (Klasifikasi Fase 4)</w:t>
      </w:r>
    </w:p>
    <w:tbl>
      <w:tblPr>
        <w:tblStyle w:val="TableGrid"/>
        <w:tblW w:type="auto" w:w="0"/>
        <w:jc w:val="center"/>
        <w:tblLayout w:type="fixed"/>
        <w:tblLook w:firstColumn="1" w:firstRow="1" w:lastColumn="0" w:lastRow="0" w:noHBand="0" w:noVBand="1" w:val="04A0"/>
      </w:tblPr>
      <w:tblGrid>
        <w:gridCol w:w="4819"/>
        <w:gridCol w:w="4819"/>
      </w:tblGrid>
      <w:tr>
        <w:tc>
          <w:tcPr>
            <w:tcW w:type="dxa" w:w="1134"/>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No</w:t>
            </w:r>
          </w:p>
        </w:tc>
        <w:tc>
          <w:tcPr>
            <w:tcW w:type="dxa" w:w="5669"/>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6"/>
              </w:rPr>
              <w:t>Kabupaten</w:t>
            </w:r>
          </w:p>
        </w:tc>
      </w:tr>
      <w:tr>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w:t>
            </w:r>
          </w:p>
        </w:tc>
        <w:tc>
          <w:tcPr>
            <w:tcW w:type="dxa" w:w="5669"/>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Banggai</w:t>
            </w:r>
          </w:p>
        </w:tc>
      </w:tr>
      <w:tr>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w:t>
            </w:r>
          </w:p>
        </w:tc>
        <w:tc>
          <w:tcPr>
            <w:tcW w:type="dxa" w:w="5669"/>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Kolaka</w:t>
            </w:r>
          </w:p>
        </w:tc>
      </w:tr>
      <w:tr>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3</w:t>
            </w:r>
          </w:p>
        </w:tc>
        <w:tc>
          <w:tcPr>
            <w:tcW w:type="dxa" w:w="5669"/>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Konawe</w:t>
            </w:r>
          </w:p>
        </w:tc>
      </w:tr>
      <w:tr>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4</w:t>
            </w:r>
          </w:p>
        </w:tc>
        <w:tc>
          <w:tcPr>
            <w:tcW w:type="dxa" w:w="5669"/>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Konawe Utara</w:t>
            </w:r>
          </w:p>
        </w:tc>
      </w:tr>
      <w:tr>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5</w:t>
            </w:r>
          </w:p>
        </w:tc>
        <w:tc>
          <w:tcPr>
            <w:tcW w:type="dxa" w:w="5669"/>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Luwu Timur</w:t>
            </w:r>
          </w:p>
        </w:tc>
      </w:tr>
      <w:tr>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6</w:t>
            </w:r>
          </w:p>
        </w:tc>
        <w:tc>
          <w:tcPr>
            <w:tcW w:type="dxa" w:w="5669"/>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Morowali</w:t>
            </w:r>
          </w:p>
        </w:tc>
      </w:tr>
      <w:tr>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7</w:t>
            </w:r>
          </w:p>
        </w:tc>
        <w:tc>
          <w:tcPr>
            <w:tcW w:type="dxa" w:w="5669"/>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Morowali Utara</w:t>
            </w:r>
          </w:p>
        </w:tc>
      </w:tr>
    </w:tbl>
    <w:p>
      <w:pPr>
        <w:spacing w:after="80"/>
      </w:pPr>
    </w:p>
    <w:p>
      <w:pPr>
        <w:spacing w:before="160" w:after="40"/>
      </w:pPr>
      <w:r>
        <w:rPr>
          <w:b/>
          <w:i w:val="0"/>
          <w:color w:val="2E7D32"/>
          <w:sz w:val="19"/>
        </w:rPr>
        <w:t>E. Analisis Temuan Empiris: Bukti Matematis Fenomena Boom and Bust</w:t>
      </w:r>
    </w:p>
    <w:p>
      <w:pPr>
        <w:spacing w:after="100"/>
        <w:jc w:val="both"/>
      </w:pPr>
      <w:r>
        <w:rPr>
          <w:b/>
          <w:i w:val="0"/>
          <w:color w:val="222222"/>
          <w:sz w:val="19"/>
        </w:rPr>
        <w:t xml:space="preserve">1. </w:t>
      </w:r>
      <w:r>
        <w:rPr>
          <w:b/>
          <w:i w:val="0"/>
          <w:color w:val="222222"/>
          <w:sz w:val="19"/>
        </w:rPr>
        <w:t xml:space="preserve">Median Konsisten Lebih Tinggi: </w:t>
      </w:r>
      <w:r>
        <w:rPr>
          <w:b w:val="0"/>
          <w:i w:val="0"/>
          <w:color w:val="222222"/>
          <w:sz w:val="19"/>
        </w:rPr>
        <w:t>Nilai tengah pertumbuhan di kawasan industri ekstraktif mencapai 2.00%, konsisten lebih tinggi dibandingkan kawasan non-ekstraktif di angka 1.15%.</w:t>
        <w:br/>
      </w:r>
      <w:r>
        <w:rPr>
          <w:b/>
          <w:i w:val="0"/>
          <w:color w:val="222222"/>
          <w:sz w:val="19"/>
        </w:rPr>
        <w:t xml:space="preserve">2. </w:t>
      </w:r>
      <w:r>
        <w:rPr>
          <w:b/>
          <w:i w:val="0"/>
          <w:color w:val="222222"/>
          <w:sz w:val="19"/>
        </w:rPr>
        <w:t xml:space="preserve">Variabilitas Ekstrem Kawasan Ekstraktif: </w:t>
      </w:r>
      <w:r>
        <w:rPr>
          <w:b w:val="0"/>
          <w:i w:val="0"/>
          <w:color w:val="222222"/>
          <w:sz w:val="19"/>
        </w:rPr>
        <w:t>IQR wilayah ekstraktif merentang dari Q1 1.50% hingga Q3 2.78% — jauh lebih lebar dibanding non-ekstraktif (Q1 0.695% hingga Q3 1.895%) yang tumbuh lebih stabil.</w:t>
        <w:br/>
      </w:r>
      <w:r>
        <w:rPr>
          <w:b/>
          <w:i w:val="0"/>
          <w:color w:val="222222"/>
          <w:sz w:val="19"/>
        </w:rPr>
        <w:t xml:space="preserve">3. </w:t>
      </w:r>
      <w:r>
        <w:rPr>
          <w:b/>
          <w:i w:val="0"/>
          <w:color w:val="222222"/>
          <w:sz w:val="19"/>
        </w:rPr>
        <w:t xml:space="preserve">Bukti Boom and Bust: </w:t>
      </w:r>
      <w:r>
        <w:rPr>
          <w:b w:val="0"/>
          <w:i w:val="0"/>
          <w:color w:val="222222"/>
          <w:sz w:val="19"/>
        </w:rPr>
        <w:t>Sebaran data ekstraktif menembus batas kewajaran (fences -0.10% s.d. 4.22%): titik lonjakan tertinggi menyentuh 20.34% sementara titik terendah anjlok hingga -7.76%. Lonjakan dan kejatuhan tajam ini menjadi bukti matematis fenomena Boom and Bust — masuknya pekerja migran secara masif di awal fase konstruksi pabrik, disusul eksodus drastis ketika proyek operasional menyusut atau terjadi pemutusan kerja massal.</w:t>
      </w:r>
    </w:p>
    <w:p>
      <w:pPr>
        <w:spacing w:before="240" w:after="80"/>
        <w:pBdr>
          <w:bottom w:val="single" w:sz="6" w:space="2" w:color="2E7D32"/>
        </w:pBdr>
      </w:pPr>
      <w:r>
        <w:rPr>
          <w:b/>
          <w:i w:val="0"/>
          <w:color w:val="2E7D32"/>
          <w:sz w:val="22"/>
        </w:rPr>
        <w:t>9.2 INTENSIFIKASI RUANG: KEPADATAN INDUSTRI EKSTRAKTIF VS NON-EKSTRAKTIF</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Data Demografi: data/processed/sulawesi_demografi_master_fase4.csv (BPS SIMDASI). Visualisasi dashboard menampilkan Area Chart tren rata-rata kepadatan penduduk (jiwa/km2) dua kategori wilayah beserta tabel agregasi kepadatan per kategori.</w:t>
      </w:r>
    </w:p>
    <w:p>
      <w:pPr>
        <w:spacing w:before="160" w:after="40"/>
      </w:pPr>
      <w:r>
        <w:rPr>
          <w:b/>
          <w:i w:val="0"/>
          <w:color w:val="2E7D32"/>
          <w:sz w:val="19"/>
        </w:rPr>
        <w:t>A. Pengantar &amp; Kerangka Narasi</w:t>
      </w:r>
    </w:p>
    <w:p>
      <w:pPr>
        <w:spacing w:after="100"/>
        <w:jc w:val="both"/>
      </w:pPr>
      <w:r>
        <w:rPr>
          <w:b w:val="0"/>
          <w:i w:val="0"/>
          <w:color w:val="222222"/>
          <w:sz w:val="19"/>
        </w:rPr>
        <w:t xml:space="preserve">Sub-bab ini tidak mengklaim perubahan resmi desa menjadi kota karena data klasifikasi Podes belum menjadi basis utama di halaman ini. Yang dibaca adalah intensifikasi ruang, yaitu tekanan yang muncul ketika pertumbuhan penduduk dan konsentrasi industri bertemu pada wilayah yang sama. </w:t>
      </w:r>
      <w:r>
        <w:rPr>
          <w:b w:val="0"/>
          <w:i w:val="0"/>
          <w:color w:val="222222"/>
          <w:sz w:val="19"/>
        </w:rPr>
        <w:t xml:space="preserve">Rata-rata kepadatan kabupaten smelter pada 2024 mencapai 42.7 jiwa/km2, sedangkan kabupaten non-smelter berada pada 438.3 jiwa/km2. Rasio smelter terhadap non-smelter sebesar 0.10 kali memberi sinyal bahwa kawasan industri membutuhkan kapasitas layanan publik yang berbeda: perumahan, air bersih, sanitasi, transportasi, hingga fasilitas kesehatan. </w:t>
      </w:r>
      <w:r>
        <w:rPr>
          <w:b w:val="0"/>
          <w:i w:val="0"/>
          <w:color w:val="222222"/>
          <w:sz w:val="19"/>
        </w:rPr>
        <w:t>Dalam kerangka D3TLH, kepadatan bukan sekadar angka demografi, melainkan indikator apakah ruang hidup lokal sedang dipadatkan oleh proyek ekstraktif tanpa perencanaan sosial yang sepadan — dibaca sebagai peta awal tekanan ruang, bukan sebagai klaim urbanisasi formal.</w:t>
      </w:r>
    </w:p>
    <w:p>
      <w:pPr>
        <w:spacing w:before="160" w:after="40"/>
      </w:pPr>
      <w:r>
        <w:rPr>
          <w:b/>
          <w:i w:val="0"/>
          <w:color w:val="2E7D32"/>
          <w:sz w:val="19"/>
        </w:rPr>
        <w:t>B. Alur Logika Metodologis Comparative Density Analysis</w:t>
      </w:r>
    </w:p>
    <w:p>
      <w:pPr>
        <w:spacing w:after="100"/>
        <w:jc w:val="both"/>
      </w:pPr>
      <w:r>
        <w:rPr>
          <w:b w:val="0"/>
          <w:i w:val="0"/>
          <w:color w:val="222222"/>
          <w:sz w:val="19"/>
        </w:rPr>
        <w:t xml:space="preserve">Kerangka komparasi kepadatan dua kategori wilayah diilustrasikan pada </w:t>
      </w:r>
      <w:r>
        <w:rPr>
          <w:b/>
          <w:i w:val="0"/>
          <w:color w:val="222222"/>
          <w:sz w:val="19"/>
        </w:rPr>
        <w:t>Bagan Alur 9.2</w:t>
      </w:r>
      <w:r>
        <w:rPr>
          <w:b w:val="0"/>
          <w:i w:val="0"/>
          <w:color w:val="222222"/>
          <w:sz w:val="19"/>
        </w:rPr>
        <w:t xml:space="preserve"> berikut. Sub-bab ini tidak menggunakan uji inferensial Chi-Square, melainkan perbandingan rata-rata kepadatan deskriptif antar kategori dari waktu ke waktu.</w:t>
      </w:r>
    </w:p>
    <w:p>
      <w:pPr>
        <w:spacing w:before="120" w:after="40"/>
      </w:pPr>
      <w:r>
        <w:rPr>
          <w:b/>
          <w:i/>
          <w:color w:val="2E7D32"/>
          <w:sz w:val="17"/>
        </w:rPr>
        <w:t>Bagan Alur 9.2: Alur Logika Analisis Comparative Density Analysis</w:t>
      </w:r>
    </w:p>
    <w:p>
      <w:pPr>
        <w:jc w:val="center"/>
      </w:pPr>
      <w:r>
        <w:drawing>
          <wp:inline xmlns:a="http://schemas.openxmlformats.org/drawingml/2006/main" xmlns:pic="http://schemas.openxmlformats.org/drawingml/2006/picture">
            <wp:extent cx="5400000" cy="558718"/>
            <wp:docPr id="2" name="Picture 2"/>
            <wp:cNvGraphicFramePr>
              <a:graphicFrameLocks noChangeAspect="1"/>
            </wp:cNvGraphicFramePr>
            <a:graphic>
              <a:graphicData uri="http://schemas.openxmlformats.org/drawingml/2006/picture">
                <pic:pic>
                  <pic:nvPicPr>
                    <pic:cNvPr id="0" name="mermaid_flowchart_9_2.png"/>
                    <pic:cNvPicPr/>
                  </pic:nvPicPr>
                  <pic:blipFill>
                    <a:blip r:embed="rId10"/>
                    <a:stretch>
                      <a:fillRect/>
                    </a:stretch>
                  </pic:blipFill>
                  <pic:spPr>
                    <a:xfrm>
                      <a:off x="0" y="0"/>
                      <a:ext cx="5400000" cy="558718"/>
                    </a:xfrm>
                    <a:prstGeom prst="rect"/>
                  </pic:spPr>
                </pic:pic>
              </a:graphicData>
            </a:graphic>
          </wp:inline>
        </w:drawing>
      </w:r>
    </w:p>
    <w:p>
      <w:pPr>
        <w:spacing w:before="160" w:after="40"/>
      </w:pPr>
      <w:r>
        <w:rPr>
          <w:b/>
          <w:i w:val="0"/>
          <w:color w:val="2E7D32"/>
          <w:sz w:val="19"/>
        </w:rPr>
        <w:t>C. Formulasi Matematis: Rata-rata Kepadatan dan Rasio Intensifikasi</w:t>
      </w:r>
    </w:p>
    <w:p>
      <w:pPr>
        <w:spacing w:after="100"/>
        <w:jc w:val="both"/>
      </w:pPr>
      <w:r>
        <w:rPr>
          <w:b w:val="0"/>
          <w:i w:val="0"/>
          <w:color w:val="222222"/>
          <w:sz w:val="19"/>
        </w:rPr>
        <w:t>Kuantifikasi intensifikasi ruang dihitung menggunakan sistem formulasi matematis berikut:</w:t>
      </w:r>
    </w:p>
    <w:p>
      <w:pPr>
        <w:spacing w:before="120" w:after="20"/>
      </w:pPr>
      <w:r>
        <w:rPr>
          <w:b/>
          <w:i/>
          <w:color w:val="2E7D32"/>
          <w:sz w:val="17"/>
        </w:rPr>
        <w:t>Persamaan: Persamaan Rata-rata Kepadatan per Kategori</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D_c,t = [ Σ ( Densitas_k,t ) ] / n_c   ;   untuk seluruh kabupaten k dalam kategori c pada tahun t</w:t>
      </w:r>
    </w:p>
    <w:p>
      <w:pPr>
        <w:spacing w:after="120"/>
        <w:ind w:left="280"/>
      </w:pPr>
      <w:r>
        <w:rPr>
          <w:b/>
          <w:i/>
          <w:color w:val="333333"/>
          <w:sz w:val="16"/>
        </w:rPr>
        <w:t>Keterangan Variabel:</w:t>
        <w:br/>
      </w:r>
      <w:r>
        <w:rPr>
          <w:b/>
          <w:i w:val="0"/>
          <w:color w:val="1B5E20"/>
          <w:sz w:val="16"/>
        </w:rPr>
        <w:t xml:space="preserve">- D_c,t: </w:t>
      </w:r>
      <w:r>
        <w:rPr>
          <w:b w:val="0"/>
          <w:i w:val="0"/>
          <w:color w:val="444444"/>
          <w:sz w:val="16"/>
        </w:rPr>
        <w:t>Rata-rata kepadatan penduduk (jiwa/km2) kategori c (Industri Ekstraktif / Non-Ekstraktif) pada tahun t (window ≤ 2024).</w:t>
        <w:br/>
      </w:r>
      <w:r>
        <w:rPr>
          <w:b/>
          <w:i w:val="0"/>
          <w:color w:val="1B5E20"/>
          <w:sz w:val="16"/>
        </w:rPr>
        <w:t xml:space="preserve">- Densitas_k,t: </w:t>
      </w:r>
      <w:r>
        <w:rPr>
          <w:b w:val="0"/>
          <w:i w:val="0"/>
          <w:color w:val="444444"/>
          <w:sz w:val="16"/>
        </w:rPr>
        <w:t>Kepadatan penduduk kabupaten k pada tahun t (jiwa/km2, BPS SIMDASI).</w:t>
        <w:br/>
      </w:r>
      <w:r>
        <w:rPr>
          <w:b/>
          <w:i w:val="0"/>
          <w:color w:val="1B5E20"/>
          <w:sz w:val="16"/>
        </w:rPr>
        <w:t xml:space="preserve">- n_c: </w:t>
      </w:r>
      <w:r>
        <w:rPr>
          <w:b w:val="0"/>
          <w:i w:val="0"/>
          <w:color w:val="444444"/>
          <w:sz w:val="16"/>
        </w:rPr>
        <w:t>Jumlah kabupaten dalam kategori c.</w:t>
      </w:r>
    </w:p>
    <w:p>
      <w:pPr>
        <w:spacing w:before="120" w:after="20"/>
      </w:pPr>
      <w:r>
        <w:rPr>
          <w:b/>
          <w:i/>
          <w:color w:val="2E7D32"/>
          <w:sz w:val="17"/>
        </w:rPr>
        <w:t>Persamaan: Persamaan Rasio Intensifikasi Ruang</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R_t = D_Ekstraktif,t / D_Non-Ekstraktif,t</w:t>
      </w:r>
    </w:p>
    <w:p>
      <w:pPr>
        <w:spacing w:after="120"/>
        <w:ind w:left="280"/>
      </w:pPr>
      <w:r>
        <w:rPr>
          <w:b/>
          <w:i/>
          <w:color w:val="333333"/>
          <w:sz w:val="16"/>
        </w:rPr>
        <w:t>Keterangan Variabel:</w:t>
        <w:br/>
      </w:r>
      <w:r>
        <w:rPr>
          <w:b/>
          <w:i w:val="0"/>
          <w:color w:val="1B5E20"/>
          <w:sz w:val="16"/>
        </w:rPr>
        <w:t xml:space="preserve">- R_t: </w:t>
      </w:r>
      <w:r>
        <w:rPr>
          <w:b w:val="0"/>
          <w:i w:val="0"/>
          <w:color w:val="444444"/>
          <w:sz w:val="16"/>
        </w:rPr>
        <w:t>Rasio rata-rata kepadatan kawasan industri ekstraktif terhadap non-ekstraktif pada tahun t; sinyal perbedaan kebutuhan kapasitas layanan publik.</w:t>
      </w:r>
    </w:p>
    <w:p>
      <w:pPr>
        <w:spacing w:after="100"/>
        <w:jc w:val="both"/>
      </w:pPr>
      <w:r>
        <w:rPr>
          <w:b w:val="0"/>
          <w:i w:val="0"/>
          <w:color w:val="222222"/>
          <w:sz w:val="19"/>
        </w:rPr>
        <w:t>Substitusi angka dari dataset aktual ke dalam rumus intensifikasi ruang adalah sebagai berikut:</w:t>
      </w:r>
    </w:p>
    <w:p>
      <w:pPr>
        <w:spacing w:before="120" w:after="20"/>
      </w:pPr>
      <w:r>
        <w:rPr>
          <w:b/>
          <w:i/>
          <w:color w:val="2E7D32"/>
          <w:sz w:val="17"/>
        </w:rPr>
        <w:t>Persamaan: Substitusi Rata-rata Kepadatan Tahun Terbaru</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D_Ekstraktif,2024 = 42.7 jiwa/km2   ;   D_Non-Ekstraktif,2024 = 438.3 jiwa/km2</w:t>
      </w:r>
    </w:p>
    <w:p>
      <w:pPr>
        <w:spacing w:before="120" w:after="20"/>
      </w:pPr>
      <w:r>
        <w:rPr>
          <w:b/>
          <w:i/>
          <w:color w:val="2E7D32"/>
          <w:sz w:val="17"/>
        </w:rPr>
        <w:t>Persamaan: Substitusi Rasio Intensifikasi</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R_2024 = 42.7 / 438.3 = 0.10x</w:t>
      </w:r>
    </w:p>
    <w:p>
      <w:pPr>
        <w:spacing w:before="120" w:after="20"/>
      </w:pPr>
      <w:r>
        <w:rPr>
          <w:b/>
          <w:i/>
          <w:color w:val="2E7D32"/>
          <w:sz w:val="17"/>
        </w:rPr>
        <w:t>Persamaan: Substitusi Perubahan Sepanjang Window</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Δ D_Ekstraktif (2016-2024) = +39.7 jiwa/km2   ;   Δ D_Non-Ekstraktif = +225.6 jiwa/km2</w:t>
      </w:r>
    </w:p>
    <w:p>
      <w:pPr>
        <w:spacing w:before="160" w:after="40"/>
      </w:pPr>
      <w:r>
        <w:rPr>
          <w:b/>
          <w:i w:val="0"/>
          <w:color w:val="2E7D32"/>
          <w:sz w:val="19"/>
        </w:rPr>
        <w:t>D. Matriks Hasil Uji Empiris: Agregasi Kepadatan per Kategori</w:t>
      </w:r>
    </w:p>
    <w:p>
      <w:pPr>
        <w:spacing w:after="100"/>
        <w:jc w:val="both"/>
      </w:pPr>
      <w:r>
        <w:rPr>
          <w:b w:val="0"/>
          <w:i w:val="0"/>
          <w:color w:val="222222"/>
          <w:sz w:val="19"/>
        </w:rPr>
        <w:t xml:space="preserve">Agregasi rata-rata kepadatan kedua kategori per tahun (2016-2024) beserta rasionya disajikan pada </w:t>
      </w:r>
      <w:r>
        <w:rPr>
          <w:b/>
          <w:i w:val="0"/>
          <w:color w:val="222222"/>
          <w:sz w:val="19"/>
        </w:rPr>
        <w:t>Tabel 9.4</w:t>
      </w:r>
      <w:r>
        <w:rPr>
          <w:b w:val="0"/>
          <w:i w:val="0"/>
          <w:color w:val="222222"/>
          <w:sz w:val="19"/>
        </w:rPr>
        <w:t xml:space="preserve"> berikut:</w:t>
      </w:r>
    </w:p>
    <w:p>
      <w:pPr>
        <w:spacing w:before="120" w:after="40"/>
      </w:pPr>
      <w:r>
        <w:rPr>
          <w:b/>
          <w:i/>
          <w:color w:val="2E7D32"/>
          <w:sz w:val="17"/>
        </w:rPr>
        <w:t>Tabel 9.4: Agregasi Rata-rata Kepadatan Penduduk per Kategori Wilayah (2016-2024)</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247"/>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Tahun</w:t>
            </w:r>
          </w:p>
        </w:tc>
        <w:tc>
          <w:tcPr>
            <w:tcW w:type="dxa" w:w="2494"/>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Industri Ekstraktif (jiwa/km2)</w:t>
            </w:r>
          </w:p>
        </w:tc>
        <w:tc>
          <w:tcPr>
            <w:tcW w:type="dxa" w:w="238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Non-Ekstraktif (jiwa/km2)</w:t>
            </w:r>
          </w:p>
        </w:tc>
        <w:tc>
          <w:tcPr>
            <w:tcW w:type="dxa" w:w="1474"/>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Rasio (x)</w:t>
            </w:r>
          </w:p>
        </w:tc>
      </w:tr>
      <w:tr>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2014</w:t>
            </w:r>
          </w:p>
        </w:tc>
        <w:tc>
          <w:tcPr>
            <w:tcW w:type="dxa" w:w="249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w:t>
            </w:r>
          </w:p>
        </w:tc>
        <w:tc>
          <w:tcPr>
            <w:tcW w:type="dxa" w:w="238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519.5</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w:t>
            </w:r>
          </w:p>
        </w:tc>
      </w:tr>
      <w:tr>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2015</w:t>
            </w:r>
          </w:p>
        </w:tc>
        <w:tc>
          <w:tcPr>
            <w:tcW w:type="dxa" w:w="249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w:t>
            </w:r>
          </w:p>
        </w:tc>
        <w:tc>
          <w:tcPr>
            <w:tcW w:type="dxa" w:w="238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526.3</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w:t>
            </w:r>
          </w:p>
        </w:tc>
      </w:tr>
      <w:tr>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2016</w:t>
            </w:r>
          </w:p>
        </w:tc>
        <w:tc>
          <w:tcPr>
            <w:tcW w:type="dxa" w:w="249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3.0</w:t>
            </w:r>
          </w:p>
        </w:tc>
        <w:tc>
          <w:tcPr>
            <w:tcW w:type="dxa" w:w="238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212.8</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0.01x</w:t>
            </w:r>
          </w:p>
        </w:tc>
      </w:tr>
      <w:tr>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2017</w:t>
            </w:r>
          </w:p>
        </w:tc>
        <w:tc>
          <w:tcPr>
            <w:tcW w:type="dxa" w:w="249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39.1</w:t>
            </w:r>
          </w:p>
        </w:tc>
        <w:tc>
          <w:tcPr>
            <w:tcW w:type="dxa" w:w="238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413.3</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0.09x</w:t>
            </w:r>
          </w:p>
        </w:tc>
      </w:tr>
      <w:tr>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2018</w:t>
            </w:r>
          </w:p>
        </w:tc>
        <w:tc>
          <w:tcPr>
            <w:tcW w:type="dxa" w:w="249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39.6</w:t>
            </w:r>
          </w:p>
        </w:tc>
        <w:tc>
          <w:tcPr>
            <w:tcW w:type="dxa" w:w="238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434.0</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0.09x</w:t>
            </w:r>
          </w:p>
        </w:tc>
      </w:tr>
      <w:tr>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2019</w:t>
            </w:r>
          </w:p>
        </w:tc>
        <w:tc>
          <w:tcPr>
            <w:tcW w:type="dxa" w:w="249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40.7</w:t>
            </w:r>
          </w:p>
        </w:tc>
        <w:tc>
          <w:tcPr>
            <w:tcW w:type="dxa" w:w="238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435.3</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0.09x</w:t>
            </w:r>
          </w:p>
        </w:tc>
      </w:tr>
      <w:tr>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2020</w:t>
            </w:r>
          </w:p>
        </w:tc>
        <w:tc>
          <w:tcPr>
            <w:tcW w:type="dxa" w:w="249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34.2</w:t>
            </w:r>
          </w:p>
        </w:tc>
        <w:tc>
          <w:tcPr>
            <w:tcW w:type="dxa" w:w="238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470.2</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0.07x</w:t>
            </w:r>
          </w:p>
        </w:tc>
      </w:tr>
      <w:tr>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2021</w:t>
            </w:r>
          </w:p>
        </w:tc>
        <w:tc>
          <w:tcPr>
            <w:tcW w:type="dxa" w:w="249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47.5</w:t>
            </w:r>
          </w:p>
        </w:tc>
        <w:tc>
          <w:tcPr>
            <w:tcW w:type="dxa" w:w="238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450.0</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0.11x</w:t>
            </w:r>
          </w:p>
        </w:tc>
      </w:tr>
      <w:tr>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2022</w:t>
            </w:r>
          </w:p>
        </w:tc>
        <w:tc>
          <w:tcPr>
            <w:tcW w:type="dxa" w:w="249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50.0</w:t>
            </w:r>
          </w:p>
        </w:tc>
        <w:tc>
          <w:tcPr>
            <w:tcW w:type="dxa" w:w="238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347.4</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0.14x</w:t>
            </w:r>
          </w:p>
        </w:tc>
      </w:tr>
      <w:tr>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2023</w:t>
            </w:r>
          </w:p>
        </w:tc>
        <w:tc>
          <w:tcPr>
            <w:tcW w:type="dxa" w:w="249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49.0</w:t>
            </w:r>
          </w:p>
        </w:tc>
        <w:tc>
          <w:tcPr>
            <w:tcW w:type="dxa" w:w="238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479.7</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0.10x</w:t>
            </w:r>
          </w:p>
        </w:tc>
      </w:tr>
      <w:tr>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2024</w:t>
            </w:r>
          </w:p>
        </w:tc>
        <w:tc>
          <w:tcPr>
            <w:tcW w:type="dxa" w:w="249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42.7</w:t>
            </w:r>
          </w:p>
        </w:tc>
        <w:tc>
          <w:tcPr>
            <w:tcW w:type="dxa" w:w="238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438.3</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0.10x</w:t>
            </w:r>
          </w:p>
        </w:tc>
      </w:tr>
    </w:tbl>
    <w:p>
      <w:pPr>
        <w:spacing w:after="80"/>
      </w:pPr>
    </w:p>
    <w:p>
      <w:pPr>
        <w:spacing w:before="160" w:after="40"/>
      </w:pPr>
      <w:r>
        <w:rPr>
          <w:b/>
          <w:i w:val="0"/>
          <w:color w:val="2E7D32"/>
          <w:sz w:val="19"/>
        </w:rPr>
        <w:t>E. Analisis Temuan Empiris: Peta Awal Tekanan Ruang</w:t>
      </w:r>
    </w:p>
    <w:p>
      <w:pPr>
        <w:spacing w:after="100"/>
        <w:jc w:val="both"/>
      </w:pPr>
      <w:r>
        <w:rPr>
          <w:b/>
          <w:i w:val="0"/>
          <w:color w:val="222222"/>
          <w:sz w:val="19"/>
        </w:rPr>
        <w:t xml:space="preserve">1. </w:t>
      </w:r>
      <w:r>
        <w:rPr>
          <w:b/>
          <w:i w:val="0"/>
          <w:color w:val="222222"/>
          <w:sz w:val="19"/>
        </w:rPr>
        <w:t xml:space="preserve">Profil Kepadatan Dua Kategori: </w:t>
      </w:r>
      <w:r>
        <w:rPr>
          <w:b w:val="0"/>
          <w:i w:val="0"/>
          <w:color w:val="222222"/>
          <w:sz w:val="19"/>
        </w:rPr>
        <w:t>Pada 2024, rata-rata kepadatan kabupaten industri ekstraktif 42.7 jiwa/km2 — rasio 0.10 kali terhadap kabupaten non-ekstraktif (438.3 jiwa/km2). Kawasan ekstraktif berbasis kabupaten berwilayah luas dan semula berpenduduk jarang, sehingga rasionya di bawah satu.</w:t>
        <w:br/>
      </w:r>
      <w:r>
        <w:rPr>
          <w:b/>
          <w:i w:val="0"/>
          <w:color w:val="222222"/>
          <w:sz w:val="19"/>
        </w:rPr>
        <w:t xml:space="preserve">2. </w:t>
      </w:r>
      <w:r>
        <w:rPr>
          <w:b/>
          <w:i w:val="0"/>
          <w:color w:val="222222"/>
          <w:sz w:val="19"/>
        </w:rPr>
        <w:t xml:space="preserve">Intensifikasi Jauh Lebih Cepat di Kawasan Ekstraktif: </w:t>
      </w:r>
      <w:r>
        <w:rPr>
          <w:b w:val="0"/>
          <w:i w:val="0"/>
          <w:color w:val="222222"/>
          <w:sz w:val="19"/>
        </w:rPr>
        <w:t>Sepanjang window data 2016-2024, rata-rata kepadatan kawasan ekstraktif melipat 14.2 kali (dari 3.0 menjadi 42.7 jiwa/km2, +39.7), jauh melampaui laju kawasan non-ekstraktif yang hanya 2.1 kali — inilah intensifikasi ruang yang dibaca sub-bab ini.</w:t>
        <w:br/>
      </w:r>
      <w:r>
        <w:rPr>
          <w:b/>
          <w:i w:val="0"/>
          <w:color w:val="222222"/>
          <w:sz w:val="19"/>
        </w:rPr>
        <w:t xml:space="preserve">3. </w:t>
      </w:r>
      <w:r>
        <w:rPr>
          <w:b/>
          <w:i w:val="0"/>
          <w:color w:val="222222"/>
          <w:sz w:val="19"/>
        </w:rPr>
        <w:t xml:space="preserve">Implikasi Kapasitas Layanan Publik: </w:t>
      </w:r>
      <w:r>
        <w:rPr>
          <w:b w:val="0"/>
          <w:i w:val="0"/>
          <w:color w:val="222222"/>
          <w:sz w:val="19"/>
        </w:rPr>
        <w:t>Pemadatan cepat pada ruang yang semula lengang memberi sinyal kebutuhan kapasitas layanan publik yang berbeda di kawasan industri — perumahan, air bersih, sanitasi, transportasi, hingga fasilitas kesehatan — agar ruang hidup lokal tidak dipadatkan proyek ekstraktif tanpa perencanaan sosial yang sepadan.</w:t>
      </w:r>
    </w:p>
    <w:p>
      <w:pPr>
        <w:spacing w:before="240" w:after="80"/>
        <w:pBdr>
          <w:bottom w:val="single" w:sz="6" w:space="2" w:color="2E7D32"/>
        </w:pBdr>
      </w:pPr>
      <w:r>
        <w:rPr>
          <w:b/>
          <w:i w:val="0"/>
          <w:color w:val="2E7D32"/>
          <w:sz w:val="22"/>
        </w:rPr>
        <w:t>9.3 PERGESERAN EKONOMI AGRARIS KE TAMBANG DAN INDUSTRI</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Data Shift Index: data/processed/sulawesi_employment_shift_fase4.csv dan data/processed/sulawesi_pdrb_sektoral_2016_2024.csv (BPS SIMDASI). Visualisasi dashboard menampilkan Area Chart komposisi PDRB sektor kunci per provinsi (dengan dekomposisi estimasi Perikanan Tangkap) serta Line Chart Shift Index (B+C / A) 6 provinsi dengan garis ambang 1.</w:t>
      </w:r>
    </w:p>
    <w:p>
      <w:pPr>
        <w:spacing w:before="160" w:after="40"/>
      </w:pPr>
      <w:r>
        <w:rPr>
          <w:b/>
          <w:i w:val="0"/>
          <w:color w:val="2E7D32"/>
          <w:sz w:val="19"/>
        </w:rPr>
        <w:t>A. Pengantar &amp; Kerangka Narasi</w:t>
      </w:r>
    </w:p>
    <w:p>
      <w:pPr>
        <w:spacing w:after="100"/>
        <w:jc w:val="both"/>
      </w:pPr>
      <w:r>
        <w:rPr>
          <w:b w:val="0"/>
          <w:i w:val="0"/>
          <w:color w:val="222222"/>
          <w:sz w:val="19"/>
        </w:rPr>
        <w:t xml:space="preserve">Pergeseran pekerjaan tidak dapat diklaim hanya dari PDRB, tetapi struktur PDRB memberi petunjuk kuat tentang arah ekonomi yang sedang dibentuk. Sektor A dibaca sebagai basis agraris, sementara sektor B dan C dibaca sebagai blok ekstraktif-industrial: pertambangan dan industri pengolahan. Rasio B+C terhadap A menjadi shift index; nilai di atas 1 berarti kontribusi tambang dan industri sudah melampaui pertanian. </w:t>
      </w:r>
      <w:r>
        <w:rPr>
          <w:b w:val="0"/>
          <w:i w:val="0"/>
          <w:color w:val="222222"/>
          <w:sz w:val="19"/>
        </w:rPr>
        <w:t xml:space="preserve">Di Sulawesi Tengah, porsi pertanian turun dari 34.39% menjadi 15.80%, sementara tambang+industri naik dari 15.45% menjadi 55.82%. Indeksnya naik dari 0.449 ke 3.533, atau sekitar 7.9 kali. </w:t>
      </w:r>
      <w:r>
        <w:rPr>
          <w:b w:val="0"/>
          <w:i w:val="0"/>
          <w:color w:val="222222"/>
          <w:sz w:val="19"/>
        </w:rPr>
        <w:t>Dengan kata lain, data sektoral menunjukkan bahwa hilirisasi tidak hanya menambah pabrik; ia mengubah pusat gravitasi ekonomi daerah, dari ruang produksi agraris menuju rantai ekstraktif yang lebih terkonsentrasi pada modal besar.</w:t>
      </w:r>
    </w:p>
    <w:p>
      <w:pPr>
        <w:spacing w:before="160" w:after="40"/>
      </w:pPr>
      <w:r>
        <w:rPr>
          <w:b/>
          <w:i w:val="0"/>
          <w:color w:val="2E7D32"/>
          <w:sz w:val="19"/>
        </w:rPr>
        <w:t>B. Alur Logika Metodologis PDRB Sector Shift Index (B+C / A)</w:t>
      </w:r>
    </w:p>
    <w:p>
      <w:pPr>
        <w:spacing w:after="100"/>
        <w:jc w:val="both"/>
      </w:pPr>
      <w:r>
        <w:rPr>
          <w:b w:val="0"/>
          <w:i w:val="0"/>
          <w:color w:val="222222"/>
          <w:sz w:val="19"/>
        </w:rPr>
        <w:t xml:space="preserve">Kerangka pembacaan pergeseran struktur ekonomi berbasis shift index diilustrasikan pada </w:t>
      </w:r>
      <w:r>
        <w:rPr>
          <w:b/>
          <w:i w:val="0"/>
          <w:color w:val="222222"/>
          <w:sz w:val="19"/>
        </w:rPr>
        <w:t>Bagan Alur 9.3</w:t>
      </w:r>
      <w:r>
        <w:rPr>
          <w:b w:val="0"/>
          <w:i w:val="0"/>
          <w:color w:val="222222"/>
          <w:sz w:val="19"/>
        </w:rPr>
        <w:t xml:space="preserve"> berikut. Sub-bab ini tidak menggunakan uji inferensial Chi-Square, melainkan indeks rasio sektoral deskriptif dengan ambang interpretatif 1.</w:t>
      </w:r>
    </w:p>
    <w:p>
      <w:pPr>
        <w:spacing w:before="120" w:after="40"/>
      </w:pPr>
      <w:r>
        <w:rPr>
          <w:b/>
          <w:i/>
          <w:color w:val="2E7D32"/>
          <w:sz w:val="17"/>
        </w:rPr>
        <w:t>Bagan Alur 9.3: Alur Logika Analisis PDRB Sector Shift Index</w:t>
      </w:r>
    </w:p>
    <w:p>
      <w:pPr>
        <w:jc w:val="center"/>
      </w:pPr>
      <w:r>
        <w:drawing>
          <wp:inline xmlns:a="http://schemas.openxmlformats.org/drawingml/2006/main" xmlns:pic="http://schemas.openxmlformats.org/drawingml/2006/picture">
            <wp:extent cx="5400000" cy="1179832"/>
            <wp:docPr id="3" name="Picture 3"/>
            <wp:cNvGraphicFramePr>
              <a:graphicFrameLocks noChangeAspect="1"/>
            </wp:cNvGraphicFramePr>
            <a:graphic>
              <a:graphicData uri="http://schemas.openxmlformats.org/drawingml/2006/picture">
                <pic:pic>
                  <pic:nvPicPr>
                    <pic:cNvPr id="0" name="mermaid_flowchart_9_3.png"/>
                    <pic:cNvPicPr/>
                  </pic:nvPicPr>
                  <pic:blipFill>
                    <a:blip r:embed="rId11"/>
                    <a:stretch>
                      <a:fillRect/>
                    </a:stretch>
                  </pic:blipFill>
                  <pic:spPr>
                    <a:xfrm>
                      <a:off x="0" y="0"/>
                      <a:ext cx="5400000" cy="1179832"/>
                    </a:xfrm>
                    <a:prstGeom prst="rect"/>
                  </pic:spPr>
                </pic:pic>
              </a:graphicData>
            </a:graphic>
          </wp:inline>
        </w:drawing>
      </w:r>
    </w:p>
    <w:p>
      <w:pPr>
        <w:spacing w:before="160" w:after="40"/>
      </w:pPr>
      <w:r>
        <w:rPr>
          <w:b/>
          <w:i w:val="0"/>
          <w:color w:val="2E7D32"/>
          <w:sz w:val="19"/>
        </w:rPr>
        <w:t>C. Formulasi Matematis: Shift Index, Dekomposisi Sektor A, dan Multiplier</w:t>
      </w:r>
    </w:p>
    <w:p>
      <w:pPr>
        <w:spacing w:after="100"/>
        <w:jc w:val="both"/>
      </w:pPr>
      <w:r>
        <w:rPr>
          <w:b w:val="0"/>
          <w:i w:val="0"/>
          <w:color w:val="222222"/>
          <w:sz w:val="19"/>
        </w:rPr>
        <w:t>Kuantifikasi pergeseran struktur ekonomi dihitung menggunakan sistem formulasi matematis berikut:</w:t>
      </w:r>
    </w:p>
    <w:p>
      <w:pPr>
        <w:spacing w:before="120" w:after="20"/>
      </w:pPr>
      <w:r>
        <w:rPr>
          <w:b/>
          <w:i/>
          <w:color w:val="2E7D32"/>
          <w:sz w:val="17"/>
        </w:rPr>
        <w:t>Persamaan: Persamaan PDRB Sector Shift Index</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Shift_Index_p,t = ( PDRB_B_p,t + PDRB_C_p,t ) / PDRB_A_p,t</w:t>
      </w:r>
    </w:p>
    <w:p>
      <w:pPr>
        <w:spacing w:after="120"/>
        <w:ind w:left="280"/>
      </w:pPr>
      <w:r>
        <w:rPr>
          <w:b/>
          <w:i/>
          <w:color w:val="333333"/>
          <w:sz w:val="16"/>
        </w:rPr>
        <w:t>Keterangan Variabel:</w:t>
        <w:br/>
      </w:r>
      <w:r>
        <w:rPr>
          <w:b/>
          <w:i w:val="0"/>
          <w:color w:val="1B5E20"/>
          <w:sz w:val="16"/>
        </w:rPr>
        <w:t xml:space="preserve">- Shift_Index_p,t: </w:t>
      </w:r>
      <w:r>
        <w:rPr>
          <w:b w:val="0"/>
          <w:i w:val="0"/>
          <w:color w:val="444444"/>
          <w:sz w:val="16"/>
        </w:rPr>
        <w:t>Rasio blok ekstraktif-industrial terhadap basis agraris provinsi p tahun t; nilai &gt; 1 berarti kontribusi tambang dan industri melampaui pertanian (garis ambang pada grafik).</w:t>
        <w:br/>
      </w:r>
      <w:r>
        <w:rPr>
          <w:b/>
          <w:i w:val="0"/>
          <w:color w:val="1B5E20"/>
          <w:sz w:val="16"/>
        </w:rPr>
        <w:t xml:space="preserve">- PDRB_A/B/C: </w:t>
      </w:r>
      <w:r>
        <w:rPr>
          <w:b w:val="0"/>
          <w:i w:val="0"/>
          <w:color w:val="444444"/>
          <w:sz w:val="16"/>
        </w:rPr>
        <w:t>Persentase kontribusi PDRB Sektor A (Pertanian, Kehutanan, Perikanan), B (Pertambangan), dan C (Industri Pengolahan) menurut KBLI.</w:t>
      </w:r>
    </w:p>
    <w:p>
      <w:pPr>
        <w:spacing w:before="120" w:after="20"/>
      </w:pPr>
      <w:r>
        <w:rPr>
          <w:b/>
          <w:i/>
          <w:color w:val="2E7D32"/>
          <w:sz w:val="17"/>
        </w:rPr>
        <w:t>Persamaan: Persamaan Dekomposisi Estimasi Sektor A</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Perikanan_Tangkap ≈ 0,22 × Sektor_A   ;   Pertanian_Kehutanan ≈ 0,78 × Sektor_A</w:t>
      </w:r>
    </w:p>
    <w:p>
      <w:pPr>
        <w:spacing w:after="120"/>
        <w:ind w:left="280"/>
      </w:pPr>
      <w:r>
        <w:rPr>
          <w:b/>
          <w:i/>
          <w:color w:val="333333"/>
          <w:sz w:val="16"/>
        </w:rPr>
        <w:t>Keterangan Variabel:</w:t>
        <w:br/>
      </w:r>
      <w:r>
        <w:rPr>
          <w:b/>
          <w:i w:val="0"/>
          <w:color w:val="1B5E20"/>
          <w:sz w:val="16"/>
        </w:rPr>
        <w:t xml:space="preserve">- 0,22: </w:t>
      </w:r>
      <w:r>
        <w:rPr>
          <w:b w:val="0"/>
          <w:i w:val="0"/>
          <w:color w:val="444444"/>
          <w:sz w:val="16"/>
        </w:rPr>
        <w:t>Proporsi estimasi Perikanan Tangkap terhadap Sektor A, mengacu pada rata-rata proporsi sub-sektor perikanan di provinsi-provinsi pesisir Sulawesi (Statistik Perikanan BPS Sulawesi, 2016-2024) — konstanta metodologis untuk dekomposisi visual Area Chart.</w:t>
      </w:r>
    </w:p>
    <w:p>
      <w:pPr>
        <w:spacing w:before="120" w:after="20"/>
      </w:pPr>
      <w:r>
        <w:rPr>
          <w:b/>
          <w:i/>
          <w:color w:val="2E7D32"/>
          <w:sz w:val="17"/>
        </w:rPr>
        <w:t>Persamaan: Persamaan Multiplier Pergeseran</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Multiplier_p = Shift_Index_p,akhir / Shift_Index_p,awal</w:t>
      </w:r>
    </w:p>
    <w:p>
      <w:pPr>
        <w:spacing w:after="120"/>
        <w:ind w:left="280"/>
      </w:pPr>
      <w:r>
        <w:rPr>
          <w:b/>
          <w:i/>
          <w:color w:val="333333"/>
          <w:sz w:val="16"/>
        </w:rPr>
        <w:t>Keterangan Variabel:</w:t>
        <w:br/>
      </w:r>
      <w:r>
        <w:rPr>
          <w:b/>
          <w:i w:val="0"/>
          <w:color w:val="1B5E20"/>
          <w:sz w:val="16"/>
        </w:rPr>
        <w:t xml:space="preserve">- Multiplier_p: </w:t>
      </w:r>
      <w:r>
        <w:rPr>
          <w:b w:val="0"/>
          <w:i w:val="0"/>
          <w:color w:val="444444"/>
          <w:sz w:val="16"/>
        </w:rPr>
        <w:t>Kelipatan kenaikan shift index provinsi p dari tahun awal ke tahun akhir window data.</w:t>
      </w:r>
    </w:p>
    <w:p>
      <w:pPr>
        <w:spacing w:after="100"/>
        <w:jc w:val="both"/>
      </w:pPr>
      <w:r>
        <w:rPr>
          <w:b w:val="0"/>
          <w:i w:val="0"/>
          <w:color w:val="222222"/>
          <w:sz w:val="19"/>
        </w:rPr>
        <w:t>Substitusi angka dari dataset aktual (Sulawesi Tengah sebagai episentrum) adalah sebagai berikut:</w:t>
      </w:r>
    </w:p>
    <w:p>
      <w:pPr>
        <w:spacing w:before="120" w:after="20"/>
      </w:pPr>
      <w:r>
        <w:rPr>
          <w:b/>
          <w:i/>
          <w:color w:val="2E7D32"/>
          <w:sz w:val="17"/>
        </w:rPr>
        <w:t>Persamaan: Substitusi Shift Index Sulawesi Tengah</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Shift_Index_Sulteng: 0.449 (2014) → 3.533 (2024)   ;   Multiplier = 3.533 / 0.449 = 7.9x</w:t>
      </w:r>
    </w:p>
    <w:p>
      <w:pPr>
        <w:spacing w:before="120" w:after="20"/>
      </w:pPr>
      <w:r>
        <w:rPr>
          <w:b/>
          <w:i/>
          <w:color w:val="2E7D32"/>
          <w:sz w:val="17"/>
        </w:rPr>
        <w:t>Persamaan: Substitusi Komposisi Sektoral Sulawesi Tengah</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Pertanian (A): 34.39% → 15.80%   ;   Tambang+Industri (B+C): 15.45% → 55.82%</w:t>
      </w:r>
    </w:p>
    <w:p>
      <w:pPr>
        <w:spacing w:before="160" w:after="40"/>
      </w:pPr>
      <w:r>
        <w:rPr>
          <w:b/>
          <w:i w:val="0"/>
          <w:color w:val="2E7D32"/>
          <w:sz w:val="19"/>
        </w:rPr>
        <w:t>D. Matriks Hasil Uji Empiris: Shift Index per Provinsi dan Ringkasan Pergeseran</w:t>
      </w:r>
    </w:p>
    <w:p>
      <w:pPr>
        <w:spacing w:after="100"/>
        <w:jc w:val="both"/>
      </w:pPr>
      <w:r>
        <w:rPr>
          <w:b w:val="0"/>
          <w:i w:val="0"/>
          <w:color w:val="222222"/>
          <w:sz w:val="19"/>
        </w:rPr>
        <w:t xml:space="preserve">Nilai shift index seluruh provinsi per tahun (2014-2024) disajikan pada </w:t>
      </w:r>
      <w:r>
        <w:rPr>
          <w:b/>
          <w:i w:val="0"/>
          <w:color w:val="222222"/>
          <w:sz w:val="19"/>
        </w:rPr>
        <w:t>Tabel 9.5</w:t>
      </w:r>
      <w:r>
        <w:rPr>
          <w:b w:val="0"/>
          <w:i w:val="0"/>
          <w:color w:val="222222"/>
          <w:sz w:val="19"/>
        </w:rPr>
        <w:t xml:space="preserve"> berikut:</w:t>
      </w:r>
    </w:p>
    <w:p>
      <w:pPr>
        <w:spacing w:before="120" w:after="40"/>
      </w:pPr>
      <w:r>
        <w:rPr>
          <w:b/>
          <w:i/>
          <w:color w:val="2E7D32"/>
          <w:sz w:val="17"/>
        </w:rPr>
        <w:t>Tabel 9.5: Shift Index (B+C / A) per Provinsi per Tahun (2014-2024)</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907"/>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Tahun</w:t>
            </w:r>
          </w:p>
        </w:tc>
        <w:tc>
          <w:tcPr>
            <w:tcW w:type="dxa" w:w="136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Gorontalo</w:t>
            </w:r>
          </w:p>
        </w:tc>
        <w:tc>
          <w:tcPr>
            <w:tcW w:type="dxa" w:w="136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Sulawesi Barat</w:t>
            </w:r>
          </w:p>
        </w:tc>
        <w:tc>
          <w:tcPr>
            <w:tcW w:type="dxa" w:w="136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Sulawesi Selatan</w:t>
            </w:r>
          </w:p>
        </w:tc>
        <w:tc>
          <w:tcPr>
            <w:tcW w:type="dxa" w:w="136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Sulawesi Tengah</w:t>
            </w:r>
          </w:p>
        </w:tc>
        <w:tc>
          <w:tcPr>
            <w:tcW w:type="dxa" w:w="136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Sulawesi Tenggara</w:t>
            </w:r>
          </w:p>
        </w:tc>
        <w:tc>
          <w:tcPr>
            <w:tcW w:type="dxa" w:w="136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Sulawesi Utara</w:t>
            </w:r>
          </w:p>
        </w:tc>
      </w:tr>
      <w:tr>
        <w:tc>
          <w:tcPr>
            <w:tcW w:type="dxa" w:w="90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2014</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0.145</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0.298</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0.918</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0.449</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1.009</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0.661</w:t>
            </w:r>
          </w:p>
        </w:tc>
      </w:tr>
      <w:tr>
        <w:tc>
          <w:tcPr>
            <w:tcW w:type="dxa" w:w="90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2015</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0.149</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0.298</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0.873</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0.638</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1.117</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0.655</w:t>
            </w:r>
          </w:p>
        </w:tc>
      </w:tr>
      <w:tr>
        <w:tc>
          <w:tcPr>
            <w:tcW w:type="dxa" w:w="90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2016</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0.145</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0.286</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0.822</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0.799</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1.049</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0.636</w:t>
            </w:r>
          </w:p>
        </w:tc>
      </w:tr>
      <w:tr>
        <w:tc>
          <w:tcPr>
            <w:tcW w:type="dxa" w:w="90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2017</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0.138</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0.294</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0.810</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0.869</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1.114</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0.660</w:t>
            </w:r>
          </w:p>
        </w:tc>
      </w:tr>
      <w:tr>
        <w:tc>
          <w:tcPr>
            <w:tcW w:type="dxa" w:w="90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2018</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0.135</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0.283</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0.784</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1.351</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1.127</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0.674</w:t>
            </w:r>
          </w:p>
        </w:tc>
      </w:tr>
      <w:tr>
        <w:tc>
          <w:tcPr>
            <w:tcW w:type="dxa" w:w="90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2019</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0.138</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0.288</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0.833</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1.544</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1.156</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0.661</w:t>
            </w:r>
          </w:p>
        </w:tc>
      </w:tr>
      <w:tr>
        <w:tc>
          <w:tcPr>
            <w:tcW w:type="dxa" w:w="90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2020</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0.140</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0.285</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0.802</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1.885</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1.121</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w:t>
            </w:r>
          </w:p>
        </w:tc>
      </w:tr>
      <w:tr>
        <w:tc>
          <w:tcPr>
            <w:tcW w:type="dxa" w:w="90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2021</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0.142</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0.294</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0.765</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2.548</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1.143</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0.750</w:t>
            </w:r>
          </w:p>
        </w:tc>
      </w:tr>
      <w:tr>
        <w:tc>
          <w:tcPr>
            <w:tcW w:type="dxa" w:w="90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2022</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0.149</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0.293</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0.813</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3.518</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1.229</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0.759</w:t>
            </w:r>
          </w:p>
        </w:tc>
      </w:tr>
      <w:tr>
        <w:tc>
          <w:tcPr>
            <w:tcW w:type="dxa" w:w="90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2023</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0.146</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0.299</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0.829</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3.525</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1.313</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0.762</w:t>
            </w:r>
          </w:p>
        </w:tc>
      </w:tr>
      <w:tr>
        <w:tc>
          <w:tcPr>
            <w:tcW w:type="dxa" w:w="90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2024</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0.147</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0.274</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0.804</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3.533</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1.300</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0.754</w:t>
            </w:r>
          </w:p>
        </w:tc>
      </w:tr>
    </w:tbl>
    <w:p>
      <w:pPr>
        <w:spacing w:after="80"/>
      </w:pPr>
    </w:p>
    <w:p>
      <w:pPr>
        <w:spacing w:after="100"/>
        <w:jc w:val="both"/>
      </w:pPr>
      <w:r>
        <w:rPr>
          <w:b w:val="0"/>
          <w:i w:val="0"/>
          <w:color w:val="222222"/>
          <w:sz w:val="19"/>
        </w:rPr>
        <w:t xml:space="preserve">Ringkasan pergeseran tiap provinsi beserta status ambangnya disajikan pada </w:t>
      </w:r>
      <w:r>
        <w:rPr>
          <w:b/>
          <w:i w:val="0"/>
          <w:color w:val="222222"/>
          <w:sz w:val="19"/>
        </w:rPr>
        <w:t>Tabel 9.6</w:t>
      </w:r>
      <w:r>
        <w:rPr>
          <w:b w:val="0"/>
          <w:i w:val="0"/>
          <w:color w:val="222222"/>
          <w:sz w:val="19"/>
        </w:rPr>
        <w:t xml:space="preserve"> berikut:</w:t>
      </w:r>
    </w:p>
    <w:p>
      <w:pPr>
        <w:spacing w:before="120" w:after="40"/>
      </w:pPr>
      <w:r>
        <w:rPr>
          <w:b/>
          <w:i/>
          <w:color w:val="2E7D32"/>
          <w:sz w:val="17"/>
        </w:rPr>
        <w:t>Tabel 9.6: Ringkasan Pergeseran Struktur Ekonomi per Provinsi</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6"/>
              </w:rPr>
              <w:t>Provinsi</w:t>
            </w:r>
          </w:p>
        </w:tc>
        <w:tc>
          <w:tcPr>
            <w:tcW w:type="dxa" w:w="1247"/>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Index Awal</w:t>
            </w:r>
          </w:p>
        </w:tc>
        <w:tc>
          <w:tcPr>
            <w:tcW w:type="dxa" w:w="1247"/>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Index Akhir</w:t>
            </w:r>
          </w:p>
        </w:tc>
        <w:tc>
          <w:tcPr>
            <w:tcW w:type="dxa" w:w="1247"/>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Multiplier</w:t>
            </w:r>
          </w:p>
        </w:tc>
        <w:tc>
          <w:tcPr>
            <w:tcW w:type="dxa" w:w="2608"/>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6"/>
              </w:rPr>
              <w:t>Status Ambang</w:t>
            </w:r>
          </w:p>
        </w:tc>
      </w:tr>
      <w:tr>
        <w:tc>
          <w:tcPr>
            <w:tcW w:type="dxa" w:w="1928"/>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Gorontalo</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0.145</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0.147</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1.0x</w:t>
            </w:r>
          </w:p>
        </w:tc>
        <w:tc>
          <w:tcPr>
            <w:tcW w:type="dxa" w:w="2608"/>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Di bawah ambang</w:t>
            </w:r>
          </w:p>
        </w:tc>
      </w:tr>
      <w:tr>
        <w:tc>
          <w:tcPr>
            <w:tcW w:type="dxa" w:w="1928"/>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Sulawesi Barat</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0.298</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0.274</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0.9x</w:t>
            </w:r>
          </w:p>
        </w:tc>
        <w:tc>
          <w:tcPr>
            <w:tcW w:type="dxa" w:w="2608"/>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Di bawah ambang</w:t>
            </w:r>
          </w:p>
        </w:tc>
      </w:tr>
      <w:tr>
        <w:tc>
          <w:tcPr>
            <w:tcW w:type="dxa" w:w="1928"/>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Sulawesi Selatan</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0.918</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0.804</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0.9x</w:t>
            </w:r>
          </w:p>
        </w:tc>
        <w:tc>
          <w:tcPr>
            <w:tcW w:type="dxa" w:w="2608"/>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Di bawah ambang</w:t>
            </w:r>
          </w:p>
        </w:tc>
      </w:tr>
      <w:tr>
        <w:tc>
          <w:tcPr>
            <w:tcW w:type="dxa" w:w="1928"/>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Sulawesi Tengah</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0.449</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3.533</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7.9x</w:t>
            </w:r>
          </w:p>
        </w:tc>
        <w:tc>
          <w:tcPr>
            <w:tcW w:type="dxa" w:w="2608"/>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MELAMPAUI AMBANG (B+C &gt; A)</w:t>
            </w:r>
          </w:p>
        </w:tc>
      </w:tr>
      <w:tr>
        <w:tc>
          <w:tcPr>
            <w:tcW w:type="dxa" w:w="1928"/>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Sulawesi Tenggara</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1.009</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1.300</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1.3x</w:t>
            </w:r>
          </w:p>
        </w:tc>
        <w:tc>
          <w:tcPr>
            <w:tcW w:type="dxa" w:w="2608"/>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MELAMPAUI AMBANG (B+C &gt; A)</w:t>
            </w:r>
          </w:p>
        </w:tc>
      </w:tr>
      <w:tr>
        <w:tc>
          <w:tcPr>
            <w:tcW w:type="dxa" w:w="1928"/>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Sulawesi Utara</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0.661</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0.754</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1.1x</w:t>
            </w:r>
          </w:p>
        </w:tc>
        <w:tc>
          <w:tcPr>
            <w:tcW w:type="dxa" w:w="2608"/>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Di bawah ambang</w:t>
            </w:r>
          </w:p>
        </w:tc>
      </w:tr>
    </w:tbl>
    <w:p>
      <w:pPr>
        <w:spacing w:after="80"/>
      </w:pPr>
    </w:p>
    <w:p>
      <w:pPr>
        <w:spacing w:before="160" w:after="40"/>
      </w:pPr>
      <w:r>
        <w:rPr>
          <w:b/>
          <w:i w:val="0"/>
          <w:color w:val="2E7D32"/>
          <w:sz w:val="19"/>
        </w:rPr>
        <w:t>E. Analisis Temuan Empiris: Pergeseran Pusat Gravitasi Ekonomi</w:t>
      </w:r>
    </w:p>
    <w:p>
      <w:pPr>
        <w:spacing w:after="100"/>
        <w:jc w:val="both"/>
      </w:pPr>
      <w:r>
        <w:rPr>
          <w:b/>
          <w:i w:val="0"/>
          <w:color w:val="222222"/>
          <w:sz w:val="19"/>
        </w:rPr>
        <w:t xml:space="preserve">1. </w:t>
      </w:r>
      <w:r>
        <w:rPr>
          <w:b/>
          <w:i w:val="0"/>
          <w:color w:val="222222"/>
          <w:sz w:val="19"/>
        </w:rPr>
        <w:t xml:space="preserve">Episentrum Pergeseran di Sulawesi Tengah: </w:t>
      </w:r>
      <w:r>
        <w:rPr>
          <w:b w:val="0"/>
          <w:i w:val="0"/>
          <w:color w:val="222222"/>
          <w:sz w:val="19"/>
        </w:rPr>
        <w:t>Shift index Sulteng melonjak dari 0.449 menjadi 3.533 (7.9 kali) — blok tambang+industri kini 55.82% PDRB, jauh melampaui pertanian yang menyusut ke 15.80%.</w:t>
        <w:br/>
      </w:r>
      <w:r>
        <w:rPr>
          <w:b/>
          <w:i w:val="0"/>
          <w:color w:val="222222"/>
          <w:sz w:val="19"/>
        </w:rPr>
        <w:t xml:space="preserve">2. </w:t>
      </w:r>
      <w:r>
        <w:rPr>
          <w:b/>
          <w:i w:val="0"/>
          <w:color w:val="222222"/>
          <w:sz w:val="19"/>
        </w:rPr>
        <w:t xml:space="preserve">Provinsi Pelampau Ambang: </w:t>
      </w:r>
      <w:r>
        <w:rPr>
          <w:b w:val="0"/>
          <w:i w:val="0"/>
          <w:color w:val="222222"/>
          <w:sz w:val="19"/>
        </w:rPr>
        <w:t>Provinsi dengan shift index akhir melampaui ambang 1 (B+C &gt; A): Sulawesi Tengah (3.533), Sulawesi Tenggara (1.300) — sementara provinsi lain masih berbasis agraris.</w:t>
        <w:br/>
      </w:r>
      <w:r>
        <w:rPr>
          <w:b/>
          <w:i w:val="0"/>
          <w:color w:val="222222"/>
          <w:sz w:val="19"/>
        </w:rPr>
        <w:t xml:space="preserve">3. </w:t>
      </w:r>
      <w:r>
        <w:rPr>
          <w:b/>
          <w:i w:val="0"/>
          <w:color w:val="222222"/>
          <w:sz w:val="19"/>
        </w:rPr>
        <w:t xml:space="preserve">Catatan Metodologis: </w:t>
      </w:r>
      <w:r>
        <w:rPr>
          <w:b w:val="0"/>
          <w:i w:val="0"/>
          <w:color w:val="222222"/>
          <w:sz w:val="19"/>
        </w:rPr>
        <w:t>Dekomposisi Perikanan Tangkap adalah estimasi (±22% Sektor A) untuk keperluan visual; klaim pergeseran pekerjaan tidak ditarik dari PDRB semata, melainkan dibaca sebagai petunjuk arah ekonomi yang sedang dibentuk hilirisasi — dari ruang produksi agraris menuju rantai ekstraktif yang terkonsentrasi pada modal besar.</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