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A8201A"/>
          <w:sz w:val="16"/>
        </w:rPr>
        <w:t>CELIOS - CENTER OF ECONOMIC AND LAW STUDIES  |  LAPORAN RISET METODOLOGI D3TLH TINGKAT PROVINSI</w:t>
      </w:r>
    </w:p>
    <w:p>
      <w:pPr>
        <w:keepNext/>
        <w:spacing w:before="320" w:after="160"/>
      </w:pPr>
      <w:r>
        <w:rPr>
          <w:b/>
          <w:color w:val="143642"/>
          <w:sz w:val="28"/>
        </w:rPr>
        <w:t>BAB VI: AUDIT FORENSIK METODOLOGI D3TLH</w:t>
      </w:r>
    </w:p>
    <w:p>
      <w:pPr>
        <w:keepNext/>
        <w:spacing w:before="280" w:after="120"/>
      </w:pPr>
      <w:r>
        <w:rPr>
          <w:b/>
          <w:color w:val="A8201A"/>
          <w:sz w:val="24"/>
        </w:rPr>
        <w:t>SUB-BAB 6.6: ALGORITMA SKORING TINGKAT PROVINSI (MODEL HYBRID Z-SCORE &amp; EWM)</w:t>
      </w:r>
    </w:p>
    <w:p>
      <w:pPr>
        <w:keepNext/>
        <w:spacing w:before="240" w:after="80"/>
      </w:pPr>
      <w:r>
        <w:rPr>
          <w:b/>
          <w:color w:val="0F4C5C"/>
          <w:sz w:val="22"/>
        </w:rPr>
        <w:t>6.6.1 Evaluasi Forensik D3TLH: Provinsi Sulawesi Tengah (Sulteng)</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BIOREGION: Provinsi Sulawesi Tengah (Episentrum Hilirisasi &amp; PLTU Captive)</w:t>
              <w:br/>
            </w:r>
            <w:r>
              <w:rPr>
                <w:color w:val="202426"/>
                <w:sz w:val="16"/>
              </w:rPr>
              <w:t>Data empiris: Gabungan sensor satelit NASA TROPOMI NO2, Global Energy Monitor (GEM 2023), Rekam Medis Kemenkes (ISPA &amp; Diare), Laporan Kinerja KLHK (Limbah B3 &amp; Tailing), Global Forest Watch (Deforestasi &amp; Emisi Karbon), BNPB (Bencana Alam), KPA &amp; TanahKita (Konflik Agraria &amp; Kriminalisasi), serta Minerba ESDM (IUP Nikel &amp; Obral Izin). Diolah menggunakan model hybrid Z-Score Anomali Deviasi Standar dan Entropy Weight Method (EWM) sesuai antarmuka Dashboard Streamlit Tab 3 (Bedah Matematika Z-Score + EWM per Provinsi).</w:t>
            </w:r>
          </w:p>
        </w:tc>
      </w:tr>
    </w:tbl>
    <w:p>
      <w:pPr>
        <w:spacing w:before="0" w:after="80"/>
      </w:pPr>
    </w:p>
    <w:p>
      <w:pPr>
        <w:keepNext/>
        <w:spacing w:before="160" w:after="60"/>
      </w:pPr>
      <w:r>
        <w:rPr>
          <w:b/>
          <w:color w:val="143642"/>
          <w:sz w:val="19"/>
        </w:rPr>
        <w:t>A. Pengantar &amp; Kerangka Narasi</w:t>
      </w:r>
    </w:p>
    <w:p>
      <w:pPr>
        <w:spacing w:before="0" w:after="100" w:line="276" w:lineRule="auto"/>
      </w:pPr>
      <w:r>
        <w:rPr>
          <w:b w:val="0"/>
          <w:i w:val="0"/>
          <w:color w:val="202426"/>
          <w:sz w:val="18"/>
        </w:rPr>
        <w:t xml:space="preserve">Sebagaimana ditampilkan pada antarmuka Streamlit </w:t>
      </w:r>
      <w:r>
        <w:rPr>
          <w:b/>
          <w:i w:val="0"/>
          <w:color w:val="202426"/>
          <w:sz w:val="18"/>
        </w:rPr>
        <w:t>Dashboard Page 6 (Audit D3TLH - Tab Bedah Matematika Z-Score + EWM per Provinsi)</w:t>
      </w:r>
      <w:r>
        <w:rPr>
          <w:b w:val="0"/>
          <w:i w:val="0"/>
          <w:color w:val="202426"/>
          <w:sz w:val="18"/>
        </w:rPr>
        <w:t>, evaluasi daya dukung dan daya tampung lingkungan hidup tingkat provinsi dirancang untuk membongkar kelemahan metodologi pemerintah yang kerap mengaburkan krisis lokal melalui teknik perataan wilayah (dilution effect). AMDAL dan dokumen D3TLH resmi selama ini berasumsi bahwa kapasitas asimilasi lingkungan bersifat homogen di seluruh daratan. Namun, fakta empiris membuktikan disparitas ekstrem antara provinsi episentrum industri nikel dengan wilayah sekitarnya.</w:t>
      </w:r>
    </w:p>
    <w:p>
      <w:pPr>
        <w:spacing w:before="0" w:after="100" w:line="276" w:lineRule="auto"/>
      </w:pPr>
      <w:r>
        <w:rPr>
          <w:b w:val="0"/>
          <w:i w:val="0"/>
          <w:color w:val="202426"/>
          <w:sz w:val="18"/>
        </w:rPr>
        <w:t xml:space="preserve">Di sini pembaca dapat melihat persis bagaimana angka </w:t>
      </w:r>
      <w:r>
        <w:rPr>
          <w:b/>
          <w:i w:val="0"/>
          <w:color w:val="202426"/>
          <w:sz w:val="18"/>
        </w:rPr>
        <w:t>Fakta Lapangan (Raw Absolute Data)</w:t>
      </w:r>
      <w:r>
        <w:rPr>
          <w:b w:val="0"/>
          <w:i w:val="0"/>
          <w:color w:val="202426"/>
          <w:sz w:val="18"/>
        </w:rPr>
        <w:t xml:space="preserve"> ditransformasikan secara objektif oleh fungsi komputasi matematika </w:t>
      </w:r>
      <w:r>
        <w:rPr>
          <w:b/>
          <w:i w:val="0"/>
          <w:color w:val="202426"/>
          <w:sz w:val="18"/>
        </w:rPr>
        <w:t>(Z-Score Anomali dan Pembobotan Entropi EWM Shannon)</w:t>
      </w:r>
      <w:r>
        <w:rPr>
          <w:b w:val="0"/>
          <w:i w:val="0"/>
          <w:color w:val="202426"/>
          <w:sz w:val="18"/>
        </w:rPr>
        <w:t xml:space="preserve"> menjadi Skor Likert diskret 0.0 - 5.0. Analisis forensik membuktikan bahwa </w:t>
      </w:r>
      <w:r>
        <w:rPr>
          <w:b/>
          <w:i w:val="0"/>
          <w:color w:val="202426"/>
          <w:sz w:val="18"/>
        </w:rPr>
        <w:t>Provinsi Sulawesi Tengah berada pada status RED ALERT (Skor Komposit 4.0 / 5.0 - Melampaui Batas)</w:t>
      </w:r>
      <w:r>
        <w:rPr>
          <w:b w:val="0"/>
          <w:i w:val="0"/>
          <w:color w:val="202426"/>
          <w:sz w:val="18"/>
        </w:rPr>
        <w:t>, di mana beban pencemaran udara, akumulasi limbah B3, beban tailing, dan deforestasi primer telah melampaui batas toleransi daya lentur ekologis.</w:t>
      </w:r>
    </w:p>
    <w:p>
      <w:pPr>
        <w:keepNext/>
        <w:spacing w:before="160" w:after="60"/>
      </w:pPr>
      <w:r>
        <w:rPr>
          <w:b/>
          <w:color w:val="143642"/>
          <w:sz w:val="19"/>
        </w:rPr>
        <w:t>B. Alur Logika Metodologis Skoring Tingkat Provinsi (Flowchart Sulteng)</w:t>
      </w:r>
    </w:p>
    <w:p>
      <w:pPr>
        <w:keepNext/>
        <w:spacing w:before="160" w:after="60"/>
      </w:pPr>
      <w:r>
        <w:rPr>
          <w:b/>
          <w:i/>
          <w:color w:val="143642"/>
          <w:sz w:val="17"/>
        </w:rPr>
        <w:t>Bagan Alur 6.6a: Alur Logika Pemrosesan Algoritma Skoring Provinsi Sulawesi Tengah</w:t>
      </w:r>
    </w:p>
    <w:p>
      <w:pPr>
        <w:jc w:val="center"/>
      </w:pPr>
      <w:r>
        <w:drawing>
          <wp:inline xmlns:a="http://schemas.openxmlformats.org/drawingml/2006/main" xmlns:pic="http://schemas.openxmlformats.org/drawingml/2006/picture">
            <wp:extent cx="5400000" cy="794118"/>
            <wp:docPr id="1" name="Picture 1"/>
            <wp:cNvGraphicFramePr>
              <a:graphicFrameLocks noChangeAspect="1"/>
            </wp:cNvGraphicFramePr>
            <a:graphic>
              <a:graphicData uri="http://schemas.openxmlformats.org/drawingml/2006/picture">
                <pic:pic>
                  <pic:nvPicPr>
                    <pic:cNvPr id="0" name="mermaid_flowchart_6_6_sulteng.png"/>
                    <pic:cNvPicPr/>
                  </pic:nvPicPr>
                  <pic:blipFill>
                    <a:blip r:embed="rId9"/>
                    <a:stretch>
                      <a:fillRect/>
                    </a:stretch>
                  </pic:blipFill>
                  <pic:spPr>
                    <a:xfrm>
                      <a:off x="0" y="0"/>
                      <a:ext cx="5400000" cy="794118"/>
                    </a:xfrm>
                    <a:prstGeom prst="rect"/>
                  </pic:spPr>
                </pic:pic>
              </a:graphicData>
            </a:graphic>
          </wp:inline>
        </w:drawing>
      </w:r>
    </w:p>
    <w:p>
      <w:pPr>
        <w:keepNext/>
        <w:spacing w:before="160" w:after="60"/>
      </w:pPr>
      <w:r>
        <w:rPr>
          <w:b/>
          <w:color w:val="143642"/>
          <w:sz w:val="19"/>
        </w:rPr>
        <w:t>C. Formulasi Matematis &amp; Definisi Variabel</w:t>
      </w:r>
    </w:p>
    <w:p>
      <w:pPr>
        <w:keepNext/>
        <w:spacing w:before="100" w:after="40"/>
      </w:pPr>
      <w:r>
        <w:rPr>
          <w:b/>
          <w:color w:val="0F4C5C"/>
          <w:sz w:val="18"/>
        </w:rPr>
        <w:t>• Tahap 1: Standardisasi Deviasi Z-Score Regional (Anomali Spasial)</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Z_ij = (x_ij - mean(x_j)) / std(x_j)    ;    Khusus IKA: Z_ika = - (ika_i - mean(ika)) / std(ika)</w:t>
            </w:r>
          </w:p>
        </w:tc>
      </w:tr>
    </w:tbl>
    <w:p>
      <w:pPr>
        <w:spacing w:before="40" w:after="100" w:line="264" w:lineRule="auto"/>
        <w:ind w:left="283"/>
      </w:pPr>
      <w:r>
        <w:rPr>
          <w:b/>
          <w:color w:val="202426"/>
          <w:sz w:val="16"/>
        </w:rPr>
        <w:t xml:space="preserve">  - x_ij: </w:t>
      </w:r>
      <w:r>
        <w:rPr>
          <w:color w:val="555555"/>
          <w:sz w:val="16"/>
        </w:rPr>
        <w:t>Nilai empiris absolut provinsi i pada indikator j.</w:t>
        <w:br/>
      </w:r>
      <w:r>
        <w:rPr>
          <w:b/>
          <w:color w:val="202426"/>
          <w:sz w:val="16"/>
        </w:rPr>
        <w:t xml:space="preserve">  - mean(x_j): </w:t>
      </w:r>
      <w:r>
        <w:rPr>
          <w:color w:val="555555"/>
          <w:sz w:val="16"/>
        </w:rPr>
        <w:t>Rata-rata aritmatika indikator j dari seluruh 6 provinsi di Pulau Sulawesi.</w:t>
        <w:br/>
      </w:r>
      <w:r>
        <w:rPr>
          <w:b/>
          <w:color w:val="202426"/>
          <w:sz w:val="16"/>
        </w:rPr>
        <w:t xml:space="preserve">  - std(x_j): </w:t>
      </w:r>
      <w:r>
        <w:rPr>
          <w:color w:val="555555"/>
          <w:sz w:val="16"/>
        </w:rPr>
        <w:t>Standar deviasi sampel indikator j se-Sulawesi (substitusi 1.0 jika bernilai 0).</w:t>
        <w:br/>
      </w:r>
      <w:r>
        <w:rPr>
          <w:b/>
          <w:color w:val="202426"/>
          <w:sz w:val="16"/>
        </w:rPr>
        <w:t xml:space="preserve">  - Inversi IKA: </w:t>
      </w:r>
      <w:r>
        <w:rPr>
          <w:color w:val="555555"/>
          <w:sz w:val="16"/>
        </w:rPr>
        <w:t>Indeks Kualitas Air diinversi tandanya karena nilai IKA tinggi mencerminkan kualitas air baik.</w:t>
        <w:br/>
      </w:r>
    </w:p>
    <w:p>
      <w:pPr>
        <w:keepNext/>
        <w:spacing w:before="100" w:after="40"/>
      </w:pPr>
      <w:r>
        <w:rPr>
          <w:b/>
          <w:color w:val="0F4C5C"/>
          <w:sz w:val="18"/>
        </w:rPr>
        <w:t>• Tahap 2: Pembobotan Objektif Entropi Informasi (Entropy Weight Method - EWM)</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r_ij = (x_ij - min(x_j)) / (max(x_j) - min(x_j))  --&gt;  P_ij = r_ij / SUM(r_ij)</w:t>
              <w:br/>
              <w:t>E_j = - (1 / ln(n)) * SUM(P_ij * ln(P_ij + eps))  --&gt;  D_j = 1 - E_j  --&gt;  W_j = D_j / SUM(D_j)</w:t>
            </w:r>
          </w:p>
        </w:tc>
      </w:tr>
    </w:tbl>
    <w:p>
      <w:pPr>
        <w:spacing w:before="40" w:after="100" w:line="264" w:lineRule="auto"/>
        <w:ind w:left="283"/>
      </w:pPr>
      <w:r>
        <w:rPr>
          <w:b/>
          <w:color w:val="202426"/>
          <w:sz w:val="16"/>
        </w:rPr>
        <w:t xml:space="preserve">  - r_ij: </w:t>
      </w:r>
      <w:r>
        <w:rPr>
          <w:color w:val="555555"/>
          <w:sz w:val="16"/>
        </w:rPr>
        <w:t>Matriks ternormalisasi skala Min-Max [0, 1] per kolom indikator.</w:t>
        <w:br/>
      </w:r>
      <w:r>
        <w:rPr>
          <w:b/>
          <w:color w:val="202426"/>
          <w:sz w:val="16"/>
        </w:rPr>
        <w:t xml:space="preserve">  - P_ij: </w:t>
      </w:r>
      <w:r>
        <w:rPr>
          <w:color w:val="555555"/>
          <w:sz w:val="16"/>
        </w:rPr>
        <w:t>Proporsi probabilitas kontribusi provinsi i terhadap total nilai indikator j.</w:t>
        <w:br/>
      </w:r>
      <w:r>
        <w:rPr>
          <w:b/>
          <w:color w:val="202426"/>
          <w:sz w:val="16"/>
        </w:rPr>
        <w:t xml:space="preserve">  - E_j: </w:t>
      </w:r>
      <w:r>
        <w:rPr>
          <w:color w:val="555555"/>
          <w:sz w:val="16"/>
        </w:rPr>
        <w:t>Nilai entropi informasi Shannon indikator j (konstanta k = 1 / ln(6) = 0.5581).</w:t>
        <w:br/>
      </w:r>
      <w:r>
        <w:rPr>
          <w:b/>
          <w:color w:val="202426"/>
          <w:sz w:val="16"/>
        </w:rPr>
        <w:t xml:space="preserve">  - W_j: </w:t>
      </w:r>
      <w:r>
        <w:rPr>
          <w:color w:val="555555"/>
          <w:sz w:val="16"/>
        </w:rPr>
        <w:t>Bobot objektif final EWM. Indikator dengan disparitas paling timpang otomatis berbobot tertinggi.</w:t>
        <w:br/>
      </w:r>
    </w:p>
    <w:p>
      <w:pPr>
        <w:keepNext/>
        <w:spacing w:before="100" w:after="40"/>
      </w:pPr>
      <w:r>
        <w:rPr>
          <w:b/>
          <w:color w:val="0F4C5C"/>
          <w:sz w:val="18"/>
        </w:rPr>
        <w:t>• Tahap 3, 4 &amp; 5: Mapping Likert Diskret &amp; Agregasi Skor Komposit</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L_ij = 5.0 (Z &gt;= +1.0) ; 4.0 (0.5 &lt;= Z &lt; 1.0) ; 3.0 (0.0 &lt;= Z &lt; 0.5) ; 2.0 (-0.5 &lt;= Z &lt; 0.0) ; 1.0 (-1.0 &lt;= Z &lt; -0.5) ; 0.0 (Z &lt; -1.0)</w:t>
              <w:br/>
              <w:t>Skor_Pilar = SUM(L_ij * W_j) / SUM(W_j)    ;    Skor_Komposit = (Udara + Air + Lahan + Sosial + Veto) / 5.0</w:t>
            </w:r>
          </w:p>
        </w:tc>
      </w:tr>
    </w:tbl>
    <w:p>
      <w:pPr>
        <w:spacing w:before="40" w:after="100" w:line="264" w:lineRule="auto"/>
        <w:ind w:left="283"/>
      </w:pPr>
      <w:r>
        <w:rPr>
          <w:b/>
          <w:color w:val="202426"/>
          <w:sz w:val="16"/>
        </w:rPr>
        <w:t xml:space="preserve">  - Skor 5.0 (Z &gt;= +1.0σ): </w:t>
      </w:r>
      <w:r>
        <w:rPr>
          <w:color w:val="555555"/>
          <w:sz w:val="16"/>
        </w:rPr>
        <w:t>Outlier Kritis Ekstrem / Red Alert (Beban melampaui rata-rata regional &gt; 1 SD).</w:t>
        <w:br/>
      </w:r>
      <w:r>
        <w:rPr>
          <w:b/>
          <w:color w:val="202426"/>
          <w:sz w:val="16"/>
        </w:rPr>
        <w:t xml:space="preserve">  - Vonis Status: </w:t>
      </w:r>
      <w:r>
        <w:rPr>
          <w:color w:val="555555"/>
          <w:sz w:val="16"/>
        </w:rPr>
        <w:t>Melampaui Batas (Skor &gt;= 4.0), Mendekati Batas (Skor = 3.0), Tidak Melampaui Batas (Skor &lt; 3.0).</w:t>
        <w:br/>
      </w:r>
    </w:p>
    <w:p>
      <w:pPr>
        <w:keepNext/>
        <w:spacing w:before="160" w:after="60"/>
      </w:pPr>
      <w:r>
        <w:rPr>
          <w:b/>
          <w:color w:val="143642"/>
          <w:sz w:val="19"/>
        </w:rPr>
        <w:t>D. Matriks Hasil Uji Empiris (Sulteng)</w:t>
      </w:r>
    </w:p>
    <w:p>
      <w:pPr>
        <w:keepNext/>
        <w:spacing w:before="160" w:after="60"/>
      </w:pPr>
      <w:r>
        <w:rPr>
          <w:b/>
          <w:i/>
          <w:color w:val="143642"/>
          <w:sz w:val="17"/>
        </w:rPr>
        <w:t>Tabel 6.12: Bedah Matematika 20 Indikator Empiris Provinsi Sulawesi Tengah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071"/>
        <w:gridCol w:w="1071"/>
        <w:gridCol w:w="1071"/>
        <w:gridCol w:w="1071"/>
        <w:gridCol w:w="1071"/>
        <w:gridCol w:w="1071"/>
        <w:gridCol w:w="1071"/>
        <w:gridCol w:w="1071"/>
        <w:gridCol w:w="1071"/>
      </w:tblGrid>
      <w:tr>
        <w:trPr>
          <w:tblHeader/>
        </w:trPr>
        <w:tc>
          <w:tcPr>
            <w:tcW w:type="dxa" w:w="850"/>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1814"/>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134"/>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Rata-rata (B)</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Deviasi (C)</w:t>
            </w:r>
          </w:p>
        </w:tc>
        <w:tc>
          <w:tcPr>
            <w:tcW w:type="dxa" w:w="850"/>
            <w:tcMar>
              <w:top w:w="100" w:type="dxa"/>
              <w:bottom w:w="100" w:type="dxa"/>
              <w:left w:w="100" w:type="dxa"/>
              <w:right w:w="100" w:type="dxa"/>
            </w:tcMar>
            <w:shd w:fill="143642"/>
            <w:vAlign w:val="center"/>
          </w:tcPr>
          <w:p>
            <w:pPr>
              <w:spacing w:before="0" w:after="0"/>
              <w:jc w:val="center"/>
            </w:pPr>
            <w:r>
              <w:rPr>
                <w:b/>
                <w:color w:val="FFFFFF"/>
                <w:sz w:val="16"/>
              </w:rPr>
              <w:t>Z-Score</w:t>
            </w:r>
          </w:p>
        </w:tc>
        <w:tc>
          <w:tcPr>
            <w:tcW w:type="dxa" w:w="850"/>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907"/>
            <w:tcMar>
              <w:top w:w="100" w:type="dxa"/>
              <w:bottom w:w="100" w:type="dxa"/>
              <w:left w:w="100" w:type="dxa"/>
              <w:right w:w="100" w:type="dxa"/>
            </w:tcMar>
            <w:shd w:fill="143642"/>
            <w:vAlign w:val="center"/>
          </w:tcPr>
          <w:p>
            <w:pPr>
              <w:spacing w:before="0" w:after="0"/>
              <w:jc w:val="center"/>
            </w:pPr>
            <w:r>
              <w:rPr>
                <w:b/>
                <w:color w:val="FFFFFF"/>
                <w:sz w:val="16"/>
              </w:rPr>
              <w:t>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1814"/>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134"/>
            <w:tcMar>
              <w:top w:w="80" w:type="dxa"/>
              <w:bottom w:w="80" w:type="dxa"/>
              <w:left w:w="80" w:type="dxa"/>
              <w:right w:w="80" w:type="dxa"/>
            </w:tcMar>
            <w:shd w:fill="FFFFFF"/>
            <w:vAlign w:val="center"/>
          </w:tcPr>
          <w:p>
            <w:pPr>
              <w:spacing w:before="0" w:after="0"/>
              <w:jc w:val="right"/>
            </w:pPr>
            <w:r>
              <w:rPr>
                <w:color w:val="202426"/>
                <w:sz w:val="15"/>
              </w:rPr>
              <w:t>7,325 MW</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1,638</w:t>
            </w:r>
          </w:p>
        </w:tc>
        <w:tc>
          <w:tcPr>
            <w:tcW w:type="dxa" w:w="964"/>
            <w:tcMar>
              <w:top w:w="80" w:type="dxa"/>
              <w:bottom w:w="80" w:type="dxa"/>
              <w:left w:w="80" w:type="dxa"/>
              <w:right w:w="80" w:type="dxa"/>
            </w:tcMar>
            <w:shd w:fill="FFFFFF"/>
            <w:vAlign w:val="center"/>
          </w:tcPr>
          <w:p>
            <w:pPr>
              <w:spacing w:before="0" w:after="0"/>
              <w:jc w:val="right"/>
            </w:pPr>
            <w:r>
              <w:rPr>
                <w:color w:val="202426"/>
                <w:sz w:val="15"/>
              </w:rPr>
              <w:t>2,882</w:t>
            </w:r>
          </w:p>
        </w:tc>
        <w:tc>
          <w:tcPr>
            <w:tcW w:type="dxa" w:w="850"/>
            <w:tcMar>
              <w:top w:w="80" w:type="dxa"/>
              <w:bottom w:w="80" w:type="dxa"/>
              <w:left w:w="80" w:type="dxa"/>
              <w:right w:w="80" w:type="dxa"/>
            </w:tcMar>
            <w:shd w:fill="FFFFFF"/>
            <w:vAlign w:val="center"/>
          </w:tcPr>
          <w:p>
            <w:pPr>
              <w:spacing w:before="0" w:after="0"/>
              <w:jc w:val="center"/>
            </w:pPr>
            <w:r>
              <w:rPr>
                <w:color w:val="202426"/>
                <w:sz w:val="15"/>
              </w:rPr>
              <w:t>+1.97</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907"/>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1814"/>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134"/>
            <w:tcMar>
              <w:top w:w="80" w:type="dxa"/>
              <w:bottom w:w="80" w:type="dxa"/>
              <w:left w:w="80" w:type="dxa"/>
              <w:right w:w="80" w:type="dxa"/>
            </w:tcMar>
            <w:shd w:fill="F4F5F6"/>
            <w:vAlign w:val="center"/>
          </w:tcPr>
          <w:p>
            <w:pPr>
              <w:spacing w:before="0" w:after="0"/>
              <w:jc w:val="right"/>
            </w:pPr>
            <w:r>
              <w:rPr>
                <w:color w:val="202426"/>
                <w:sz w:val="15"/>
              </w:rPr>
              <w:t>6.50e-06</w:t>
            </w:r>
          </w:p>
        </w:tc>
        <w:tc>
          <w:tcPr>
            <w:tcW w:type="dxa" w:w="1020"/>
            <w:tcMar>
              <w:top w:w="80" w:type="dxa"/>
              <w:bottom w:w="80" w:type="dxa"/>
              <w:left w:w="80" w:type="dxa"/>
              <w:right w:w="80" w:type="dxa"/>
            </w:tcMar>
            <w:shd w:fill="F4F5F6"/>
            <w:vAlign w:val="center"/>
          </w:tcPr>
          <w:p>
            <w:pPr>
              <w:spacing w:before="0" w:after="0"/>
              <w:jc w:val="right"/>
            </w:pPr>
            <w:r>
              <w:rPr>
                <w:color w:val="202426"/>
                <w:sz w:val="15"/>
              </w:rPr>
              <w:t>5.56e-06</w:t>
            </w:r>
          </w:p>
        </w:tc>
        <w:tc>
          <w:tcPr>
            <w:tcW w:type="dxa" w:w="964"/>
            <w:tcMar>
              <w:top w:w="80" w:type="dxa"/>
              <w:bottom w:w="80" w:type="dxa"/>
              <w:left w:w="80" w:type="dxa"/>
              <w:right w:w="80" w:type="dxa"/>
            </w:tcMar>
            <w:shd w:fill="F4F5F6"/>
            <w:vAlign w:val="center"/>
          </w:tcPr>
          <w:p>
            <w:pPr>
              <w:spacing w:before="0" w:after="0"/>
              <w:jc w:val="right"/>
            </w:pPr>
            <w:r>
              <w:rPr>
                <w:color w:val="202426"/>
                <w:sz w:val="15"/>
              </w:rPr>
              <w:t>1.29e-06</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+0.73</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907"/>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1814"/>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134"/>
            <w:tcMar>
              <w:top w:w="80" w:type="dxa"/>
              <w:bottom w:w="80" w:type="dxa"/>
              <w:left w:w="80" w:type="dxa"/>
              <w:right w:w="80" w:type="dxa"/>
            </w:tcMar>
            <w:shd w:fill="FFFFFF"/>
            <w:vAlign w:val="center"/>
          </w:tcPr>
          <w:p>
            <w:pPr>
              <w:spacing w:before="0" w:after="0"/>
              <w:jc w:val="right"/>
            </w:pPr>
            <w:r>
              <w:rPr>
                <w:color w:val="202426"/>
                <w:sz w:val="15"/>
              </w:rPr>
              <w:t>3.50x</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1.41x</w:t>
            </w:r>
          </w:p>
        </w:tc>
        <w:tc>
          <w:tcPr>
            <w:tcW w:type="dxa" w:w="964"/>
            <w:tcMar>
              <w:top w:w="80" w:type="dxa"/>
              <w:bottom w:w="80" w:type="dxa"/>
              <w:left w:w="80" w:type="dxa"/>
              <w:right w:w="80" w:type="dxa"/>
            </w:tcMar>
            <w:shd w:fill="FFFFFF"/>
            <w:vAlign w:val="center"/>
          </w:tcPr>
          <w:p>
            <w:pPr>
              <w:spacing w:before="0" w:after="0"/>
              <w:jc w:val="right"/>
            </w:pPr>
            <w:r>
              <w:rPr>
                <w:color w:val="202426"/>
                <w:sz w:val="15"/>
              </w:rPr>
              <w:t>1.26x</w:t>
            </w:r>
          </w:p>
        </w:tc>
        <w:tc>
          <w:tcPr>
            <w:tcW w:type="dxa" w:w="850"/>
            <w:tcMar>
              <w:top w:w="80" w:type="dxa"/>
              <w:bottom w:w="80" w:type="dxa"/>
              <w:left w:w="80" w:type="dxa"/>
              <w:right w:w="80" w:type="dxa"/>
            </w:tcMar>
            <w:shd w:fill="FFFFFF"/>
            <w:vAlign w:val="center"/>
          </w:tcPr>
          <w:p>
            <w:pPr>
              <w:spacing w:before="0" w:after="0"/>
              <w:jc w:val="center"/>
            </w:pPr>
            <w:r>
              <w:rPr>
                <w:color w:val="202426"/>
                <w:sz w:val="15"/>
              </w:rPr>
              <w:t>+1.66</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907"/>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1814"/>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134"/>
            <w:tcMar>
              <w:top w:w="80" w:type="dxa"/>
              <w:bottom w:w="80" w:type="dxa"/>
              <w:left w:w="80" w:type="dxa"/>
              <w:right w:w="80" w:type="dxa"/>
            </w:tcMar>
            <w:shd w:fill="F4F5F6"/>
            <w:vAlign w:val="center"/>
          </w:tcPr>
          <w:p>
            <w:pPr>
              <w:spacing w:before="0" w:after="0"/>
              <w:jc w:val="right"/>
            </w:pPr>
            <w:r>
              <w:rPr>
                <w:color w:val="202426"/>
                <w:sz w:val="15"/>
              </w:rPr>
              <w:t>25.30 Jt Ton</w:t>
            </w:r>
          </w:p>
        </w:tc>
        <w:tc>
          <w:tcPr>
            <w:tcW w:type="dxa" w:w="1020"/>
            <w:tcMar>
              <w:top w:w="80" w:type="dxa"/>
              <w:bottom w:w="80" w:type="dxa"/>
              <w:left w:w="80" w:type="dxa"/>
              <w:right w:w="80" w:type="dxa"/>
            </w:tcMar>
            <w:shd w:fill="F4F5F6"/>
            <w:vAlign w:val="center"/>
          </w:tcPr>
          <w:p>
            <w:pPr>
              <w:spacing w:before="0" w:after="0"/>
              <w:jc w:val="right"/>
            </w:pPr>
            <w:r>
              <w:rPr>
                <w:color w:val="202426"/>
                <w:sz w:val="15"/>
              </w:rPr>
              <w:t>5.47</w:t>
            </w:r>
          </w:p>
        </w:tc>
        <w:tc>
          <w:tcPr>
            <w:tcW w:type="dxa" w:w="964"/>
            <w:tcMar>
              <w:top w:w="80" w:type="dxa"/>
              <w:bottom w:w="80" w:type="dxa"/>
              <w:left w:w="80" w:type="dxa"/>
              <w:right w:w="80" w:type="dxa"/>
            </w:tcMar>
            <w:shd w:fill="F4F5F6"/>
            <w:vAlign w:val="center"/>
          </w:tcPr>
          <w:p>
            <w:pPr>
              <w:spacing w:before="0" w:after="0"/>
              <w:jc w:val="right"/>
            </w:pPr>
            <w:r>
              <w:rPr>
                <w:color w:val="202426"/>
                <w:sz w:val="15"/>
              </w:rPr>
              <w:t>10.04</w:t>
            </w:r>
          </w:p>
        </w:tc>
        <w:tc>
          <w:tcPr>
            <w:tcW w:type="dxa" w:w="850"/>
            <w:tcMar>
              <w:top w:w="80" w:type="dxa"/>
              <w:bottom w:w="80" w:type="dxa"/>
              <w:left w:w="80" w:type="dxa"/>
              <w:right w:w="80" w:type="dxa"/>
            </w:tcMar>
            <w:shd w:fill="F4F5F6"/>
            <w:vAlign w:val="center"/>
          </w:tcPr>
          <w:p>
            <w:pPr>
              <w:spacing w:before="0" w:after="0"/>
              <w:jc w:val="center"/>
            </w:pPr>
            <w:r>
              <w:rPr>
                <w:color w:val="202426"/>
                <w:sz w:val="15"/>
              </w:rPr>
              <w:t>+1.97</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907"/>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1814"/>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134"/>
            <w:tcMar>
              <w:top w:w="80" w:type="dxa"/>
              <w:bottom w:w="80" w:type="dxa"/>
              <w:left w:w="80" w:type="dxa"/>
              <w:right w:w="80" w:type="dxa"/>
            </w:tcMar>
            <w:shd w:fill="FFFFFF"/>
            <w:vAlign w:val="center"/>
          </w:tcPr>
          <w:p>
            <w:pPr>
              <w:spacing w:before="0" w:after="0"/>
              <w:jc w:val="right"/>
            </w:pPr>
            <w:r>
              <w:rPr>
                <w:color w:val="202426"/>
                <w:sz w:val="15"/>
              </w:rPr>
              <w:t>291.34 Jt Ton CO2e</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134.01</w:t>
            </w:r>
          </w:p>
        </w:tc>
        <w:tc>
          <w:tcPr>
            <w:tcW w:type="dxa" w:w="964"/>
            <w:tcMar>
              <w:top w:w="80" w:type="dxa"/>
              <w:bottom w:w="80" w:type="dxa"/>
              <w:left w:w="80" w:type="dxa"/>
              <w:right w:w="80" w:type="dxa"/>
            </w:tcMar>
            <w:shd w:fill="FFFFFF"/>
            <w:vAlign w:val="center"/>
          </w:tcPr>
          <w:p>
            <w:pPr>
              <w:spacing w:before="0" w:after="0"/>
              <w:jc w:val="right"/>
            </w:pPr>
            <w:r>
              <w:rPr>
                <w:color w:val="202426"/>
                <w:sz w:val="15"/>
              </w:rPr>
              <w:t>93.99</w:t>
            </w:r>
          </w:p>
        </w:tc>
        <w:tc>
          <w:tcPr>
            <w:tcW w:type="dxa" w:w="850"/>
            <w:tcMar>
              <w:top w:w="80" w:type="dxa"/>
              <w:bottom w:w="80" w:type="dxa"/>
              <w:left w:w="80" w:type="dxa"/>
              <w:right w:w="80" w:type="dxa"/>
            </w:tcMar>
            <w:shd w:fill="FFFFFF"/>
            <w:vAlign w:val="center"/>
          </w:tcPr>
          <w:p>
            <w:pPr>
              <w:spacing w:before="0" w:after="0"/>
              <w:jc w:val="center"/>
            </w:pPr>
            <w:r>
              <w:rPr>
                <w:color w:val="202426"/>
                <w:sz w:val="15"/>
              </w:rPr>
              <w:t>+1.67</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907"/>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1814"/>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134"/>
            <w:tcMar>
              <w:top w:w="80" w:type="dxa"/>
              <w:bottom w:w="80" w:type="dxa"/>
              <w:left w:w="80" w:type="dxa"/>
              <w:right w:w="80" w:type="dxa"/>
            </w:tcMar>
            <w:shd w:fill="F4F5F6"/>
            <w:vAlign w:val="center"/>
          </w:tcPr>
          <w:p>
            <w:pPr>
              <w:spacing w:before="0" w:after="0"/>
              <w:jc w:val="right"/>
            </w:pPr>
            <w:r>
              <w:rPr>
                <w:color w:val="202426"/>
                <w:sz w:val="15"/>
              </w:rPr>
              <w:t>62.1 Poin</w:t>
            </w:r>
          </w:p>
        </w:tc>
        <w:tc>
          <w:tcPr>
            <w:tcW w:type="dxa" w:w="1020"/>
            <w:tcMar>
              <w:top w:w="80" w:type="dxa"/>
              <w:bottom w:w="80" w:type="dxa"/>
              <w:left w:w="80" w:type="dxa"/>
              <w:right w:w="80" w:type="dxa"/>
            </w:tcMar>
            <w:shd w:fill="F4F5F6"/>
            <w:vAlign w:val="center"/>
          </w:tcPr>
          <w:p>
            <w:pPr>
              <w:spacing w:before="0" w:after="0"/>
              <w:jc w:val="right"/>
            </w:pPr>
            <w:r>
              <w:rPr>
                <w:color w:val="202426"/>
                <w:sz w:val="15"/>
              </w:rPr>
              <w:t>59.7</w:t>
            </w:r>
          </w:p>
        </w:tc>
        <w:tc>
          <w:tcPr>
            <w:tcW w:type="dxa" w:w="964"/>
            <w:tcMar>
              <w:top w:w="80" w:type="dxa"/>
              <w:bottom w:w="80" w:type="dxa"/>
              <w:left w:w="80" w:type="dxa"/>
              <w:right w:w="80" w:type="dxa"/>
            </w:tcMar>
            <w:shd w:fill="F4F5F6"/>
            <w:vAlign w:val="center"/>
          </w:tcPr>
          <w:p>
            <w:pPr>
              <w:spacing w:before="0" w:after="0"/>
              <w:jc w:val="right"/>
            </w:pPr>
            <w:r>
              <w:rPr>
                <w:color w:val="202426"/>
                <w:sz w:val="15"/>
              </w:rPr>
              <w:t>3.4</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-0.70</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907"/>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1814"/>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134"/>
            <w:tcMar>
              <w:top w:w="80" w:type="dxa"/>
              <w:bottom w:w="80" w:type="dxa"/>
              <w:left w:w="80" w:type="dxa"/>
              <w:right w:w="80" w:type="dxa"/>
            </w:tcMar>
            <w:shd w:fill="FFFFFF"/>
            <w:vAlign w:val="center"/>
          </w:tcPr>
          <w:p>
            <w:pPr>
              <w:spacing w:before="0" w:after="0"/>
              <w:jc w:val="right"/>
            </w:pPr>
            <w:r>
              <w:rPr>
                <w:color w:val="202426"/>
                <w:sz w:val="15"/>
              </w:rPr>
              <w:t>1.52x</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1.04x</w:t>
            </w:r>
          </w:p>
        </w:tc>
        <w:tc>
          <w:tcPr>
            <w:tcW w:type="dxa" w:w="964"/>
            <w:tcMar>
              <w:top w:w="80" w:type="dxa"/>
              <w:bottom w:w="80" w:type="dxa"/>
              <w:left w:w="80" w:type="dxa"/>
              <w:right w:w="80" w:type="dxa"/>
            </w:tcMar>
            <w:shd w:fill="FFFFFF"/>
            <w:vAlign w:val="center"/>
          </w:tcPr>
          <w:p>
            <w:pPr>
              <w:spacing w:before="0" w:after="0"/>
              <w:jc w:val="right"/>
            </w:pPr>
            <w:r>
              <w:rPr>
                <w:color w:val="202426"/>
                <w:sz w:val="15"/>
              </w:rPr>
              <w:t>0.36x</w:t>
            </w:r>
          </w:p>
        </w:tc>
        <w:tc>
          <w:tcPr>
            <w:tcW w:type="dxa" w:w="850"/>
            <w:tcMar>
              <w:top w:w="80" w:type="dxa"/>
              <w:bottom w:w="80" w:type="dxa"/>
              <w:left w:w="80" w:type="dxa"/>
              <w:right w:w="80" w:type="dxa"/>
            </w:tcMar>
            <w:shd w:fill="FFFFFF"/>
            <w:vAlign w:val="center"/>
          </w:tcPr>
          <w:p>
            <w:pPr>
              <w:spacing w:before="0" w:after="0"/>
              <w:jc w:val="center"/>
            </w:pPr>
            <w:r>
              <w:rPr>
                <w:color w:val="202426"/>
                <w:sz w:val="15"/>
              </w:rPr>
              <w:t>+1.34</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907"/>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1814"/>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134"/>
            <w:tcMar>
              <w:top w:w="80" w:type="dxa"/>
              <w:bottom w:w="80" w:type="dxa"/>
              <w:left w:w="80" w:type="dxa"/>
              <w:right w:w="80" w:type="dxa"/>
            </w:tcMar>
            <w:shd w:fill="F4F5F6"/>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4F5F6"/>
            <w:vAlign w:val="center"/>
          </w:tcPr>
          <w:p>
            <w:pPr>
              <w:spacing w:before="0" w:after="0"/>
              <w:jc w:val="right"/>
            </w:pPr>
            <w:r>
              <w:rPr>
                <w:color w:val="202426"/>
                <w:sz w:val="15"/>
              </w:rPr>
              <w:t>2.5</w:t>
            </w:r>
          </w:p>
        </w:tc>
        <w:tc>
          <w:tcPr>
            <w:tcW w:type="dxa" w:w="964"/>
            <w:tcMar>
              <w:top w:w="80" w:type="dxa"/>
              <w:bottom w:w="80" w:type="dxa"/>
              <w:left w:w="80" w:type="dxa"/>
              <w:right w:w="80" w:type="dxa"/>
            </w:tcMar>
            <w:shd w:fill="F4F5F6"/>
            <w:vAlign w:val="center"/>
          </w:tcPr>
          <w:p>
            <w:pPr>
              <w:spacing w:before="0" w:after="0"/>
              <w:jc w:val="right"/>
            </w:pPr>
            <w:r>
              <w:rPr>
                <w:color w:val="202426"/>
                <w:sz w:val="15"/>
              </w:rPr>
              <w:t>2.9</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-0.52</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907"/>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1814"/>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134"/>
            <w:tcMar>
              <w:top w:w="80" w:type="dxa"/>
              <w:bottom w:w="80" w:type="dxa"/>
              <w:left w:w="80" w:type="dxa"/>
              <w:right w:w="80" w:type="dxa"/>
            </w:tcMar>
            <w:shd w:fill="FFFFFF"/>
            <w:vAlign w:val="center"/>
          </w:tcPr>
          <w:p>
            <w:pPr>
              <w:spacing w:before="0" w:after="0"/>
              <w:jc w:val="right"/>
            </w:pPr>
            <w:r>
              <w:rPr>
                <w:color w:val="202426"/>
                <w:sz w:val="15"/>
              </w:rPr>
              <w:t>24.50 Jt Ton</w:t>
            </w:r>
          </w:p>
        </w:tc>
        <w:tc>
          <w:tcPr>
            <w:tcW w:type="dxa" w:w="1020"/>
            <w:tcMar>
              <w:top w:w="80" w:type="dxa"/>
              <w:bottom w:w="80" w:type="dxa"/>
              <w:left w:w="80" w:type="dxa"/>
              <w:right w:w="80" w:type="dxa"/>
            </w:tcMar>
            <w:shd w:fill="FFFFFF"/>
            <w:vAlign w:val="center"/>
          </w:tcPr>
          <w:p>
            <w:pPr>
              <w:spacing w:before="0" w:after="0"/>
              <w:jc w:val="right"/>
            </w:pPr>
            <w:r>
              <w:rPr>
                <w:color w:val="202426"/>
                <w:sz w:val="15"/>
              </w:rPr>
              <w:t>5.34</w:t>
            </w:r>
          </w:p>
        </w:tc>
        <w:tc>
          <w:tcPr>
            <w:tcW w:type="dxa" w:w="964"/>
            <w:tcMar>
              <w:top w:w="80" w:type="dxa"/>
              <w:bottom w:w="80" w:type="dxa"/>
              <w:left w:w="80" w:type="dxa"/>
              <w:right w:w="80" w:type="dxa"/>
            </w:tcMar>
            <w:shd w:fill="FFFFFF"/>
            <w:vAlign w:val="center"/>
          </w:tcPr>
          <w:p>
            <w:pPr>
              <w:spacing w:before="0" w:after="0"/>
              <w:jc w:val="right"/>
            </w:pPr>
            <w:r>
              <w:rPr>
                <w:color w:val="202426"/>
                <w:sz w:val="15"/>
              </w:rPr>
              <w:t>9.73</w:t>
            </w:r>
          </w:p>
        </w:tc>
        <w:tc>
          <w:tcPr>
            <w:tcW w:type="dxa" w:w="850"/>
            <w:tcMar>
              <w:top w:w="80" w:type="dxa"/>
              <w:bottom w:w="80" w:type="dxa"/>
              <w:left w:w="80" w:type="dxa"/>
              <w:right w:w="80" w:type="dxa"/>
            </w:tcMar>
            <w:shd w:fill="FFFFFF"/>
            <w:vAlign w:val="center"/>
          </w:tcPr>
          <w:p>
            <w:pPr>
              <w:spacing w:before="0" w:after="0"/>
              <w:jc w:val="center"/>
            </w:pPr>
            <w:r>
              <w:rPr>
                <w:color w:val="202426"/>
                <w:sz w:val="15"/>
              </w:rPr>
              <w:t>+1.97</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907"/>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1814"/>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134"/>
            <w:tcMar>
              <w:top w:w="80" w:type="dxa"/>
              <w:bottom w:w="80" w:type="dxa"/>
              <w:left w:w="80" w:type="dxa"/>
              <w:right w:w="80" w:type="dxa"/>
            </w:tcMar>
            <w:shd w:fill="F4F5F6"/>
            <w:vAlign w:val="center"/>
          </w:tcPr>
          <w:p>
            <w:pPr>
              <w:spacing w:before="0" w:after="0"/>
              <w:jc w:val="right"/>
            </w:pPr>
            <w:r>
              <w:rPr>
                <w:color w:val="202426"/>
                <w:sz w:val="15"/>
              </w:rPr>
              <w:t>458 Kejadian</w:t>
            </w:r>
          </w:p>
        </w:tc>
        <w:tc>
          <w:tcPr>
            <w:tcW w:type="dxa" w:w="1020"/>
            <w:tcMar>
              <w:top w:w="80" w:type="dxa"/>
              <w:bottom w:w="80" w:type="dxa"/>
              <w:left w:w="80" w:type="dxa"/>
              <w:right w:w="80" w:type="dxa"/>
            </w:tcMar>
            <w:shd w:fill="F4F5F6"/>
            <w:vAlign w:val="center"/>
          </w:tcPr>
          <w:p>
            <w:pPr>
              <w:spacing w:before="0" w:after="0"/>
              <w:jc w:val="right"/>
            </w:pPr>
            <w:r>
              <w:rPr>
                <w:color w:val="202426"/>
                <w:sz w:val="15"/>
              </w:rPr>
              <w:t>268.2</w:t>
            </w:r>
          </w:p>
        </w:tc>
        <w:tc>
          <w:tcPr>
            <w:tcW w:type="dxa" w:w="964"/>
            <w:tcMar>
              <w:top w:w="80" w:type="dxa"/>
              <w:bottom w:w="80" w:type="dxa"/>
              <w:left w:w="80" w:type="dxa"/>
              <w:right w:w="80" w:type="dxa"/>
            </w:tcMar>
            <w:shd w:fill="F4F5F6"/>
            <w:vAlign w:val="center"/>
          </w:tcPr>
          <w:p>
            <w:pPr>
              <w:spacing w:before="0" w:after="0"/>
              <w:jc w:val="right"/>
            </w:pPr>
            <w:r>
              <w:rPr>
                <w:color w:val="202426"/>
                <w:sz w:val="15"/>
              </w:rPr>
              <w:t>246.6</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+0.77</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907"/>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1814"/>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134"/>
            <w:tcMar>
              <w:top w:w="80" w:type="dxa"/>
              <w:bottom w:w="80" w:type="dxa"/>
              <w:left w:w="80" w:type="dxa"/>
              <w:right w:w="80" w:type="dxa"/>
            </w:tcMar>
            <w:shd w:fill="FFFFFF"/>
            <w:vAlign w:val="center"/>
          </w:tcPr>
          <w:p>
            <w:pPr>
              <w:spacing w:before="0" w:after="0"/>
              <w:jc w:val="right"/>
            </w:pPr>
            <w:r>
              <w:rPr>
                <w:color w:val="202426"/>
                <w:sz w:val="15"/>
              </w:rPr>
              <w:t>481,908 Ha</w:t>
            </w:r>
          </w:p>
        </w:tc>
        <w:tc>
          <w:tcPr>
            <w:tcW w:type="dxa" w:w="1020"/>
            <w:tcMar>
              <w:top w:w="80" w:type="dxa"/>
              <w:bottom w:w="80" w:type="dxa"/>
              <w:left w:w="80" w:type="dxa"/>
              <w:right w:w="80" w:type="dxa"/>
            </w:tcMar>
            <w:shd w:fill="FFFFFF"/>
            <w:vAlign w:val="center"/>
          </w:tcPr>
          <w:p>
            <w:pPr>
              <w:spacing w:before="0" w:after="0"/>
              <w:jc w:val="right"/>
            </w:pPr>
            <w:r>
              <w:rPr>
                <w:color w:val="202426"/>
                <w:sz w:val="15"/>
              </w:rPr>
              <w:t>231,009</w:t>
            </w:r>
          </w:p>
        </w:tc>
        <w:tc>
          <w:tcPr>
            <w:tcW w:type="dxa" w:w="964"/>
            <w:tcMar>
              <w:top w:w="80" w:type="dxa"/>
              <w:bottom w:w="80" w:type="dxa"/>
              <w:left w:w="80" w:type="dxa"/>
              <w:right w:w="80" w:type="dxa"/>
            </w:tcMar>
            <w:shd w:fill="FFFFFF"/>
            <w:vAlign w:val="center"/>
          </w:tcPr>
          <w:p>
            <w:pPr>
              <w:spacing w:before="0" w:after="0"/>
              <w:jc w:val="right"/>
            </w:pPr>
            <w:r>
              <w:rPr>
                <w:color w:val="202426"/>
                <w:sz w:val="15"/>
              </w:rPr>
              <w:t>159,368</w:t>
            </w:r>
          </w:p>
        </w:tc>
        <w:tc>
          <w:tcPr>
            <w:tcW w:type="dxa" w:w="850"/>
            <w:tcMar>
              <w:top w:w="80" w:type="dxa"/>
              <w:bottom w:w="80" w:type="dxa"/>
              <w:left w:w="80" w:type="dxa"/>
              <w:right w:w="80" w:type="dxa"/>
            </w:tcMar>
            <w:shd w:fill="FFFFFF"/>
            <w:vAlign w:val="center"/>
          </w:tcPr>
          <w:p>
            <w:pPr>
              <w:spacing w:before="0" w:after="0"/>
              <w:jc w:val="center"/>
            </w:pPr>
            <w:r>
              <w:rPr>
                <w:color w:val="202426"/>
                <w:sz w:val="15"/>
              </w:rPr>
              <w:t>+1.57</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907"/>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1814"/>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134"/>
            <w:tcMar>
              <w:top w:w="80" w:type="dxa"/>
              <w:bottom w:w="80" w:type="dxa"/>
              <w:left w:w="80" w:type="dxa"/>
              <w:right w:w="80" w:type="dxa"/>
            </w:tcMar>
            <w:shd w:fill="F4F5F6"/>
            <w:vAlign w:val="center"/>
          </w:tcPr>
          <w:p>
            <w:pPr>
              <w:spacing w:before="0" w:after="0"/>
              <w:jc w:val="right"/>
            </w:pPr>
            <w:r>
              <w:rPr>
                <w:color w:val="202426"/>
                <w:sz w:val="15"/>
              </w:rPr>
              <w:t>19,804 Ha</w:t>
            </w:r>
          </w:p>
        </w:tc>
        <w:tc>
          <w:tcPr>
            <w:tcW w:type="dxa" w:w="1020"/>
            <w:tcMar>
              <w:top w:w="80" w:type="dxa"/>
              <w:bottom w:w="80" w:type="dxa"/>
              <w:left w:w="80" w:type="dxa"/>
              <w:right w:w="80" w:type="dxa"/>
            </w:tcMar>
            <w:shd w:fill="F4F5F6"/>
            <w:vAlign w:val="center"/>
          </w:tcPr>
          <w:p>
            <w:pPr>
              <w:spacing w:before="0" w:after="0"/>
              <w:jc w:val="right"/>
            </w:pPr>
            <w:r>
              <w:rPr>
                <w:color w:val="202426"/>
                <w:sz w:val="15"/>
              </w:rPr>
              <w:t>6,964</w:t>
            </w:r>
          </w:p>
        </w:tc>
        <w:tc>
          <w:tcPr>
            <w:tcW w:type="dxa" w:w="964"/>
            <w:tcMar>
              <w:top w:w="80" w:type="dxa"/>
              <w:bottom w:w="80" w:type="dxa"/>
              <w:left w:w="80" w:type="dxa"/>
              <w:right w:w="80" w:type="dxa"/>
            </w:tcMar>
            <w:shd w:fill="F4F5F6"/>
            <w:vAlign w:val="center"/>
          </w:tcPr>
          <w:p>
            <w:pPr>
              <w:spacing w:before="0" w:after="0"/>
              <w:jc w:val="right"/>
            </w:pPr>
            <w:r>
              <w:rPr>
                <w:color w:val="202426"/>
                <w:sz w:val="15"/>
              </w:rPr>
              <w:t>6,775</w:t>
            </w:r>
          </w:p>
        </w:tc>
        <w:tc>
          <w:tcPr>
            <w:tcW w:type="dxa" w:w="850"/>
            <w:tcMar>
              <w:top w:w="80" w:type="dxa"/>
              <w:bottom w:w="80" w:type="dxa"/>
              <w:left w:w="80" w:type="dxa"/>
              <w:right w:w="80" w:type="dxa"/>
            </w:tcMar>
            <w:shd w:fill="F4F5F6"/>
            <w:vAlign w:val="center"/>
          </w:tcPr>
          <w:p>
            <w:pPr>
              <w:spacing w:before="0" w:after="0"/>
              <w:jc w:val="center"/>
            </w:pPr>
            <w:r>
              <w:rPr>
                <w:color w:val="202426"/>
                <w:sz w:val="15"/>
              </w:rPr>
              <w:t>+1.89</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907"/>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1814"/>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134"/>
            <w:tcMar>
              <w:top w:w="80" w:type="dxa"/>
              <w:bottom w:w="80" w:type="dxa"/>
              <w:left w:w="80" w:type="dxa"/>
              <w:right w:w="80" w:type="dxa"/>
            </w:tcMar>
            <w:shd w:fill="FFFFFF"/>
            <w:vAlign w:val="center"/>
          </w:tcPr>
          <w:p>
            <w:pPr>
              <w:spacing w:before="0" w:after="0"/>
              <w:jc w:val="right"/>
            </w:pPr>
            <w:r>
              <w:rPr>
                <w:color w:val="202426"/>
                <w:sz w:val="15"/>
              </w:rPr>
              <w:t>383,304 Ha</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166,942</w:t>
            </w:r>
          </w:p>
        </w:tc>
        <w:tc>
          <w:tcPr>
            <w:tcW w:type="dxa" w:w="964"/>
            <w:tcMar>
              <w:top w:w="80" w:type="dxa"/>
              <w:bottom w:w="80" w:type="dxa"/>
              <w:left w:w="80" w:type="dxa"/>
              <w:right w:w="80" w:type="dxa"/>
            </w:tcMar>
            <w:shd w:fill="FFFFFF"/>
            <w:vAlign w:val="center"/>
          </w:tcPr>
          <w:p>
            <w:pPr>
              <w:spacing w:before="0" w:after="0"/>
              <w:jc w:val="right"/>
            </w:pPr>
            <w:r>
              <w:rPr>
                <w:color w:val="202426"/>
                <w:sz w:val="15"/>
              </w:rPr>
              <w:t>128,370</w:t>
            </w:r>
          </w:p>
        </w:tc>
        <w:tc>
          <w:tcPr>
            <w:tcW w:type="dxa" w:w="850"/>
            <w:tcMar>
              <w:top w:w="80" w:type="dxa"/>
              <w:bottom w:w="80" w:type="dxa"/>
              <w:left w:w="80" w:type="dxa"/>
              <w:right w:w="80" w:type="dxa"/>
            </w:tcMar>
            <w:shd w:fill="FFFFFF"/>
            <w:vAlign w:val="center"/>
          </w:tcPr>
          <w:p>
            <w:pPr>
              <w:spacing w:before="0" w:after="0"/>
              <w:jc w:val="center"/>
            </w:pPr>
            <w:r>
              <w:rPr>
                <w:color w:val="202426"/>
                <w:sz w:val="15"/>
              </w:rPr>
              <w:t>+1.69</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907"/>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1814"/>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134"/>
            <w:tcMar>
              <w:top w:w="80" w:type="dxa"/>
              <w:bottom w:w="80" w:type="dxa"/>
              <w:left w:w="80" w:type="dxa"/>
              <w:right w:w="80" w:type="dxa"/>
            </w:tcMar>
            <w:shd w:fill="F4F5F6"/>
            <w:vAlign w:val="center"/>
          </w:tcPr>
          <w:p>
            <w:pPr>
              <w:spacing w:before="0" w:after="0"/>
              <w:jc w:val="right"/>
            </w:pPr>
            <w:r>
              <w:rPr>
                <w:color w:val="202426"/>
                <w:sz w:val="15"/>
              </w:rPr>
              <w:t>7.33%</w:t>
            </w:r>
          </w:p>
        </w:tc>
        <w:tc>
          <w:tcPr>
            <w:tcW w:type="dxa" w:w="1020"/>
            <w:tcMar>
              <w:top w:w="80" w:type="dxa"/>
              <w:bottom w:w="80" w:type="dxa"/>
              <w:left w:w="80" w:type="dxa"/>
              <w:right w:w="80" w:type="dxa"/>
            </w:tcMar>
            <w:shd w:fill="F4F5F6"/>
            <w:vAlign w:val="center"/>
          </w:tcPr>
          <w:p>
            <w:pPr>
              <w:spacing w:before="0" w:after="0"/>
              <w:jc w:val="right"/>
            </w:pPr>
            <w:r>
              <w:rPr>
                <w:color w:val="202426"/>
                <w:sz w:val="15"/>
              </w:rPr>
              <w:t>5.08%</w:t>
            </w:r>
          </w:p>
        </w:tc>
        <w:tc>
          <w:tcPr>
            <w:tcW w:type="dxa" w:w="964"/>
            <w:tcMar>
              <w:top w:w="80" w:type="dxa"/>
              <w:bottom w:w="80" w:type="dxa"/>
              <w:left w:w="80" w:type="dxa"/>
              <w:right w:w="80" w:type="dxa"/>
            </w:tcMar>
            <w:shd w:fill="F4F5F6"/>
            <w:vAlign w:val="center"/>
          </w:tcPr>
          <w:p>
            <w:pPr>
              <w:spacing w:before="0" w:after="0"/>
              <w:jc w:val="right"/>
            </w:pPr>
            <w:r>
              <w:rPr>
                <w:color w:val="202426"/>
                <w:sz w:val="15"/>
              </w:rPr>
              <w:t>4.43%</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+0.51</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907"/>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1814"/>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134"/>
            <w:tcMar>
              <w:top w:w="80" w:type="dxa"/>
              <w:bottom w:w="80" w:type="dxa"/>
              <w:left w:w="80" w:type="dxa"/>
              <w:right w:w="80" w:type="dxa"/>
            </w:tcMar>
            <w:shd w:fill="FFFFFF"/>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1.3</w:t>
            </w:r>
          </w:p>
        </w:tc>
        <w:tc>
          <w:tcPr>
            <w:tcW w:type="dxa" w:w="964"/>
            <w:tcMar>
              <w:top w:w="80" w:type="dxa"/>
              <w:bottom w:w="80" w:type="dxa"/>
              <w:left w:w="80" w:type="dxa"/>
              <w:right w:w="80" w:type="dxa"/>
            </w:tcMar>
            <w:shd w:fill="FFFFFF"/>
            <w:vAlign w:val="center"/>
          </w:tcPr>
          <w:p>
            <w:pPr>
              <w:spacing w:before="0" w:after="0"/>
              <w:jc w:val="right"/>
            </w:pPr>
            <w:r>
              <w:rPr>
                <w:color w:val="202426"/>
                <w:sz w:val="15"/>
              </w:rPr>
              <w:t>2.0</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-0.17</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907"/>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1814"/>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134"/>
            <w:tcMar>
              <w:top w:w="80" w:type="dxa"/>
              <w:bottom w:w="80" w:type="dxa"/>
              <w:left w:w="80" w:type="dxa"/>
              <w:right w:w="80" w:type="dxa"/>
            </w:tcMar>
            <w:shd w:fill="F4F5F6"/>
            <w:vAlign w:val="center"/>
          </w:tcPr>
          <w:p>
            <w:pPr>
              <w:spacing w:before="0" w:after="0"/>
              <w:jc w:val="right"/>
            </w:pPr>
            <w:r>
              <w:rPr>
                <w:color w:val="202426"/>
                <w:sz w:val="15"/>
              </w:rPr>
              <w:t>12,231 Jiwa</w:t>
            </w:r>
          </w:p>
        </w:tc>
        <w:tc>
          <w:tcPr>
            <w:tcW w:type="dxa" w:w="1020"/>
            <w:tcMar>
              <w:top w:w="80" w:type="dxa"/>
              <w:bottom w:w="80" w:type="dxa"/>
              <w:left w:w="80" w:type="dxa"/>
              <w:right w:w="80" w:type="dxa"/>
            </w:tcMar>
            <w:shd w:fill="F4F5F6"/>
            <w:vAlign w:val="center"/>
          </w:tcPr>
          <w:p>
            <w:pPr>
              <w:spacing w:before="0" w:after="0"/>
              <w:jc w:val="right"/>
            </w:pPr>
            <w:r>
              <w:rPr>
                <w:color w:val="202426"/>
                <w:sz w:val="15"/>
              </w:rPr>
              <w:t>9,052</w:t>
            </w:r>
          </w:p>
        </w:tc>
        <w:tc>
          <w:tcPr>
            <w:tcW w:type="dxa" w:w="964"/>
            <w:tcMar>
              <w:top w:w="80" w:type="dxa"/>
              <w:bottom w:w="80" w:type="dxa"/>
              <w:left w:w="80" w:type="dxa"/>
              <w:right w:w="80" w:type="dxa"/>
            </w:tcMar>
            <w:shd w:fill="F4F5F6"/>
            <w:vAlign w:val="center"/>
          </w:tcPr>
          <w:p>
            <w:pPr>
              <w:spacing w:before="0" w:after="0"/>
              <w:jc w:val="right"/>
            </w:pPr>
            <w:r>
              <w:rPr>
                <w:color w:val="202426"/>
                <w:sz w:val="15"/>
              </w:rPr>
              <w:t>15,804</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+0.20</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907"/>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1814"/>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134"/>
            <w:tcMar>
              <w:top w:w="80" w:type="dxa"/>
              <w:bottom w:w="80" w:type="dxa"/>
              <w:left w:w="80" w:type="dxa"/>
              <w:right w:w="80" w:type="dxa"/>
            </w:tcMar>
            <w:shd w:fill="FFFFFF"/>
            <w:vAlign w:val="center"/>
          </w:tcPr>
          <w:p>
            <w:pPr>
              <w:spacing w:before="0" w:after="0"/>
              <w:jc w:val="right"/>
            </w:pPr>
            <w:r>
              <w:rPr>
                <w:color w:val="202426"/>
                <w:sz w:val="15"/>
              </w:rPr>
              <w:t>6 Insiden</w:t>
            </w:r>
          </w:p>
        </w:tc>
        <w:tc>
          <w:tcPr>
            <w:tcW w:type="dxa" w:w="1020"/>
            <w:tcMar>
              <w:top w:w="80" w:type="dxa"/>
              <w:bottom w:w="80" w:type="dxa"/>
              <w:left w:w="80" w:type="dxa"/>
              <w:right w:w="80" w:type="dxa"/>
            </w:tcMar>
            <w:shd w:fill="FFFFFF"/>
            <w:vAlign w:val="center"/>
          </w:tcPr>
          <w:p>
            <w:pPr>
              <w:spacing w:before="0" w:after="0"/>
              <w:jc w:val="right"/>
            </w:pPr>
            <w:r>
              <w:rPr>
                <w:color w:val="202426"/>
                <w:sz w:val="15"/>
              </w:rPr>
              <w:t>3.5</w:t>
            </w:r>
          </w:p>
        </w:tc>
        <w:tc>
          <w:tcPr>
            <w:tcW w:type="dxa" w:w="964"/>
            <w:tcMar>
              <w:top w:w="80" w:type="dxa"/>
              <w:bottom w:w="80" w:type="dxa"/>
              <w:left w:w="80" w:type="dxa"/>
              <w:right w:w="80" w:type="dxa"/>
            </w:tcMar>
            <w:shd w:fill="FFFFFF"/>
            <w:vAlign w:val="center"/>
          </w:tcPr>
          <w:p>
            <w:pPr>
              <w:spacing w:before="0" w:after="0"/>
              <w:jc w:val="right"/>
            </w:pPr>
            <w:r>
              <w:rPr>
                <w:color w:val="202426"/>
                <w:sz w:val="15"/>
              </w:rPr>
              <w:t>3.5</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+0.71</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907"/>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1814"/>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134"/>
            <w:tcMar>
              <w:top w:w="80" w:type="dxa"/>
              <w:bottom w:w="80" w:type="dxa"/>
              <w:left w:w="80" w:type="dxa"/>
              <w:right w:w="80" w:type="dxa"/>
            </w:tcMar>
            <w:shd w:fill="F4F5F6"/>
            <w:vAlign w:val="center"/>
          </w:tcPr>
          <w:p>
            <w:pPr>
              <w:spacing w:before="0" w:after="0"/>
              <w:jc w:val="right"/>
            </w:pPr>
            <w:r>
              <w:rPr>
                <w:color w:val="202426"/>
                <w:sz w:val="15"/>
              </w:rPr>
              <w:t>2.4 % Gap</w:t>
            </w:r>
          </w:p>
        </w:tc>
        <w:tc>
          <w:tcPr>
            <w:tcW w:type="dxa" w:w="1020"/>
            <w:tcMar>
              <w:top w:w="80" w:type="dxa"/>
              <w:bottom w:w="80" w:type="dxa"/>
              <w:left w:w="80" w:type="dxa"/>
              <w:right w:w="80" w:type="dxa"/>
            </w:tcMar>
            <w:shd w:fill="F4F5F6"/>
            <w:vAlign w:val="center"/>
          </w:tcPr>
          <w:p>
            <w:pPr>
              <w:spacing w:before="0" w:after="0"/>
              <w:jc w:val="right"/>
            </w:pPr>
            <w:r>
              <w:rPr>
                <w:color w:val="202426"/>
                <w:sz w:val="15"/>
              </w:rPr>
              <w:t>9.6</w:t>
            </w:r>
          </w:p>
        </w:tc>
        <w:tc>
          <w:tcPr>
            <w:tcW w:type="dxa" w:w="964"/>
            <w:tcMar>
              <w:top w:w="80" w:type="dxa"/>
              <w:bottom w:w="80" w:type="dxa"/>
              <w:left w:w="80" w:type="dxa"/>
              <w:right w:w="80" w:type="dxa"/>
            </w:tcMar>
            <w:shd w:fill="F4F5F6"/>
            <w:vAlign w:val="center"/>
          </w:tcPr>
          <w:p>
            <w:pPr>
              <w:spacing w:before="0" w:after="0"/>
              <w:jc w:val="right"/>
            </w:pPr>
            <w:r>
              <w:rPr>
                <w:color w:val="202426"/>
                <w:sz w:val="15"/>
              </w:rPr>
              <w:t>10.5</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-0.68</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907"/>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1814"/>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134"/>
            <w:tcMar>
              <w:top w:w="80" w:type="dxa"/>
              <w:bottom w:w="80" w:type="dxa"/>
              <w:left w:w="80" w:type="dxa"/>
              <w:right w:w="80" w:type="dxa"/>
            </w:tcMar>
            <w:shd w:fill="FFFFFF"/>
            <w:vAlign w:val="center"/>
          </w:tcPr>
          <w:p>
            <w:pPr>
              <w:spacing w:before="0" w:after="0"/>
              <w:jc w:val="right"/>
            </w:pPr>
            <w:r>
              <w:rPr>
                <w:color w:val="202426"/>
                <w:sz w:val="15"/>
              </w:rPr>
              <w:t>260 Izin</w:t>
            </w:r>
          </w:p>
        </w:tc>
        <w:tc>
          <w:tcPr>
            <w:tcW w:type="dxa" w:w="1020"/>
            <w:tcMar>
              <w:top w:w="80" w:type="dxa"/>
              <w:bottom w:w="80" w:type="dxa"/>
              <w:left w:w="80" w:type="dxa"/>
              <w:right w:w="80" w:type="dxa"/>
            </w:tcMar>
            <w:shd w:fill="FFFFFF"/>
            <w:vAlign w:val="center"/>
          </w:tcPr>
          <w:p>
            <w:pPr>
              <w:spacing w:before="0" w:after="0"/>
              <w:jc w:val="right"/>
            </w:pPr>
            <w:r>
              <w:rPr>
                <w:color w:val="202426"/>
                <w:sz w:val="15"/>
              </w:rPr>
              <w:t>95.7</w:t>
            </w:r>
          </w:p>
        </w:tc>
        <w:tc>
          <w:tcPr>
            <w:tcW w:type="dxa" w:w="964"/>
            <w:tcMar>
              <w:top w:w="80" w:type="dxa"/>
              <w:bottom w:w="80" w:type="dxa"/>
              <w:left w:w="80" w:type="dxa"/>
              <w:right w:w="80" w:type="dxa"/>
            </w:tcMar>
            <w:shd w:fill="FFFFFF"/>
            <w:vAlign w:val="center"/>
          </w:tcPr>
          <w:p>
            <w:pPr>
              <w:spacing w:before="0" w:after="0"/>
              <w:jc w:val="right"/>
            </w:pPr>
            <w:r>
              <w:rPr>
                <w:color w:val="202426"/>
                <w:sz w:val="15"/>
              </w:rPr>
              <w:t>100.3</w:t>
            </w:r>
          </w:p>
        </w:tc>
        <w:tc>
          <w:tcPr>
            <w:tcW w:type="dxa" w:w="850"/>
            <w:tcMar>
              <w:top w:w="80" w:type="dxa"/>
              <w:bottom w:w="80" w:type="dxa"/>
              <w:left w:w="80" w:type="dxa"/>
              <w:right w:w="80" w:type="dxa"/>
            </w:tcMar>
            <w:shd w:fill="FFFFFF"/>
            <w:vAlign w:val="center"/>
          </w:tcPr>
          <w:p>
            <w:pPr>
              <w:spacing w:before="0" w:after="0"/>
              <w:jc w:val="center"/>
            </w:pPr>
            <w:r>
              <w:rPr>
                <w:color w:val="202426"/>
                <w:sz w:val="15"/>
              </w:rPr>
              <w:t>+1.64</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907"/>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1814"/>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134"/>
            <w:tcMar>
              <w:top w:w="80" w:type="dxa"/>
              <w:bottom w:w="80" w:type="dxa"/>
              <w:left w:w="80" w:type="dxa"/>
              <w:right w:w="80" w:type="dxa"/>
            </w:tcMar>
            <w:shd w:fill="F4F5F6"/>
            <w:vAlign w:val="center"/>
          </w:tcPr>
          <w:p>
            <w:pPr>
              <w:spacing w:before="0" w:after="0"/>
              <w:jc w:val="right"/>
            </w:pPr>
            <w:r>
              <w:rPr>
                <w:color w:val="202426"/>
                <w:sz w:val="15"/>
              </w:rPr>
              <w:t>3 Korporasi</w:t>
            </w:r>
          </w:p>
        </w:tc>
        <w:tc>
          <w:tcPr>
            <w:tcW w:type="dxa" w:w="1020"/>
            <w:tcMar>
              <w:top w:w="80" w:type="dxa"/>
              <w:bottom w:w="80" w:type="dxa"/>
              <w:left w:w="80" w:type="dxa"/>
              <w:right w:w="80" w:type="dxa"/>
            </w:tcMar>
            <w:shd w:fill="F4F5F6"/>
            <w:vAlign w:val="center"/>
          </w:tcPr>
          <w:p>
            <w:pPr>
              <w:spacing w:before="0" w:after="0"/>
              <w:jc w:val="right"/>
            </w:pPr>
            <w:r>
              <w:rPr>
                <w:color w:val="202426"/>
                <w:sz w:val="15"/>
              </w:rPr>
              <w:t>2.7</w:t>
            </w:r>
          </w:p>
        </w:tc>
        <w:tc>
          <w:tcPr>
            <w:tcW w:type="dxa" w:w="964"/>
            <w:tcMar>
              <w:top w:w="80" w:type="dxa"/>
              <w:bottom w:w="80" w:type="dxa"/>
              <w:left w:w="80" w:type="dxa"/>
              <w:right w:w="80" w:type="dxa"/>
            </w:tcMar>
            <w:shd w:fill="F4F5F6"/>
            <w:vAlign w:val="center"/>
          </w:tcPr>
          <w:p>
            <w:pPr>
              <w:spacing w:before="0" w:after="0"/>
              <w:jc w:val="right"/>
            </w:pPr>
            <w:r>
              <w:rPr>
                <w:color w:val="202426"/>
                <w:sz w:val="15"/>
              </w:rPr>
              <w:t>3.7</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+0.09</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907"/>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bl>
    <w:p>
      <w:pPr>
        <w:spacing w:before="0" w:after="120"/>
      </w:pPr>
    </w:p>
    <w:p>
      <w:pPr>
        <w:keepNext/>
        <w:spacing w:before="160" w:after="60"/>
      </w:pPr>
      <w:r>
        <w:rPr>
          <w:b/>
          <w:i/>
          <w:color w:val="143642"/>
          <w:sz w:val="17"/>
        </w:rPr>
        <w:t>Tabel 6.13: Rekapitulasi Skor 5 Pilar &amp; Status Ekologis Komposit Provinsi Sulawesi Tengah</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Sulteng</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(7.325 MW), NO2 (6.5e-6), ISPA (3.5x), B3 (25.3 Jt Ton), CO2 (291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4.9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Episentrum PLTU Captive Terbesar &amp; Konsentrasi B3</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(62.07), Diare (1.52x), Tailing (24.5 Jt Ton), Logam Cr6+</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3.3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Beban Tailing Raksasa &amp; Morbiditas Pencernaan Tinggi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(458), Deforestasi (481k Ha), Lindung (19.8k Ha), Driver (383k Ha)</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4.7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Deforestasi Primer Masif &amp; Perambahan Hutan Lindung</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(1 Kasus), Korban (12.231 Jiwa), Kriminalisasi (6 Insiden), Defisit SPA</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Kriminalisasi Warga Pembela HAM &amp; Defisit Sarana Kesehatan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(260 IUP Baru), Korporat Ilegal (3 Perusahaan), PLTU Ekspansi</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4.4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Kegagalan Pengendalian Izin &amp; Impunitas Pelanggaran</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SULTENG</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4.0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RED ALERT: DARURAT DAYA DUKUNG LINGKUNGAN</w:t>
            </w:r>
          </w:p>
        </w:tc>
      </w:tr>
    </w:tbl>
    <w:p>
      <w:pPr>
        <w:spacing w:before="0" w:after="120"/>
      </w:pPr>
    </w:p>
    <w:p>
      <w:pPr>
        <w:keepNext/>
        <w:spacing w:before="160" w:after="60"/>
      </w:pPr>
      <w:r>
        <w:rPr>
          <w:b/>
          <w:color w:val="143642"/>
          <w:sz w:val="19"/>
        </w:rPr>
        <w:t>E. Analisis Temuan Empiris (Sulteng)</w:t>
      </w:r>
    </w:p>
    <w:p>
      <w:pPr>
        <w:spacing w:before="0" w:after="100" w:line="276" w:lineRule="auto"/>
      </w:pPr>
      <w:r>
        <w:rPr>
          <w:b/>
          <w:i w:val="0"/>
          <w:color w:val="202426"/>
          <w:sz w:val="18"/>
        </w:rPr>
        <w:t xml:space="preserve">1. </w:t>
      </w:r>
      <w:r>
        <w:rPr>
          <w:b/>
          <w:i w:val="0"/>
          <w:color w:val="202426"/>
          <w:sz w:val="18"/>
        </w:rPr>
        <w:t xml:space="preserve">Daya Tampung Udara (Skor 4.9 / 5 — Melampaui Batas): </w:t>
      </w:r>
      <w:r>
        <w:rPr>
          <w:b w:val="0"/>
          <w:i w:val="0"/>
          <w:color w:val="202426"/>
          <w:sz w:val="18"/>
        </w:rPr>
        <w:t>Sulawesi Tengah memikul beban polusi udara terparah se-Sulawesi. Kapasitas PLTU captive batubara mencapai 7.325,0 MW (Z = +1.97σ), timbulan limbah B3 menyentuh 25,30 Juta Ton (Z = +1.97σ), emisi karbon 291,34 Juta Ton CO2e (Z = +1.67σ), dan rasio anomali ISPA mencapai 3,50x lipat (Z = +1.66σ).</w:t>
        <w:br/>
      </w:r>
      <w:r>
        <w:rPr>
          <w:b/>
          <w:i w:val="0"/>
          <w:color w:val="202426"/>
          <w:sz w:val="18"/>
        </w:rPr>
        <w:t xml:space="preserve">2. </w:t>
      </w:r>
      <w:r>
        <w:rPr>
          <w:b/>
          <w:i w:val="0"/>
          <w:color w:val="202426"/>
          <w:sz w:val="18"/>
        </w:rPr>
        <w:t xml:space="preserve">Daya Tampung Air (Skor 3.3 / 5 — Mendekati Batas): </w:t>
      </w:r>
      <w:r>
        <w:rPr>
          <w:b w:val="0"/>
          <w:i w:val="0"/>
          <w:color w:val="202426"/>
          <w:sz w:val="18"/>
        </w:rPr>
        <w:t>Meskipun rerata IKA bernilai 62,07, timbulan tailing dan slag mencapai 24,50 Juta Ton/Tahun (Z = +1.97σ) serta memicu lonjakan morbiditas diare sebesar 1,52x lipat dibanding kontrol (Z = +1.34σ, Likert 5.0).</w:t>
        <w:br/>
      </w:r>
      <w:r>
        <w:rPr>
          <w:b/>
          <w:i w:val="0"/>
          <w:color w:val="202426"/>
          <w:sz w:val="18"/>
        </w:rPr>
        <w:t xml:space="preserve">3. </w:t>
      </w:r>
      <w:r>
        <w:rPr>
          <w:b/>
          <w:i w:val="0"/>
          <w:color w:val="202426"/>
          <w:sz w:val="18"/>
        </w:rPr>
        <w:t xml:space="preserve">Daya Dukung Lahan (Skor 4.7 / 5 — Melampaui Batas): </w:t>
      </w:r>
      <w:r>
        <w:rPr>
          <w:b w:val="0"/>
          <w:i w:val="0"/>
          <w:color w:val="202426"/>
          <w:sz w:val="18"/>
        </w:rPr>
        <w:t>Kehancuran tutupan daratan terberat dengan total deforestasi primer 481.908 Ha (Z = +1.57σ), perambahan 19.804 Ha di kawasan hutan lindung (Z = +1.89σ), serta 383.304 Ha deforestasi komoditas tambang/sawit (Z = +1.69σ).</w:t>
        <w:br/>
      </w:r>
      <w:r>
        <w:rPr>
          <w:b/>
          <w:i w:val="0"/>
          <w:color w:val="202426"/>
          <w:sz w:val="18"/>
        </w:rPr>
        <w:t xml:space="preserve">4. </w:t>
      </w:r>
      <w:r>
        <w:rPr>
          <w:b/>
          <w:i w:val="0"/>
          <w:color w:val="202426"/>
          <w:sz w:val="18"/>
        </w:rPr>
        <w:t xml:space="preserve">Daya Dukung Sosial (Skor 2.5 / 5 — Tidak Melampaui Batas): </w:t>
      </w:r>
      <w:r>
        <w:rPr>
          <w:b w:val="0"/>
          <w:i w:val="0"/>
          <w:color w:val="202426"/>
          <w:sz w:val="18"/>
        </w:rPr>
        <w:t>Tercatat 12.231 jiwa masyarakat adat dan petani terancam kehilangan ruang hidup, serta terjadi 6 insiden kriminalisasi warga dan aktivis lingkungan hidup (Z = +0.71σ, Likert 4.0).</w:t>
        <w:br/>
      </w:r>
      <w:r>
        <w:rPr>
          <w:b/>
          <w:i w:val="0"/>
          <w:color w:val="202426"/>
          <w:sz w:val="18"/>
        </w:rPr>
        <w:t xml:space="preserve">5. </w:t>
      </w:r>
      <w:r>
        <w:rPr>
          <w:b/>
          <w:i w:val="0"/>
          <w:color w:val="202426"/>
          <w:sz w:val="18"/>
        </w:rPr>
        <w:t xml:space="preserve">Veto Kebijakan (Skor 4.4 / 5 — Melampaui Batas): </w:t>
      </w:r>
      <w:r>
        <w:rPr>
          <w:b w:val="0"/>
          <w:i w:val="0"/>
          <w:color w:val="202426"/>
          <w:sz w:val="18"/>
        </w:rPr>
        <w:t>Terjadi kegagalan pengendalian perizinan dengan diterbitkannya 260 IUP baru pasca-2014 (Z = +1.64σ, Likert 5.0) dan pembiaran 3 korporasi besar beroperasi ilegal di kawasan hutan.</w:t>
        <w:br/>
      </w:r>
      <w:r>
        <w:rPr>
          <w:b/>
          <w:i w:val="0"/>
          <w:color w:val="202426"/>
          <w:sz w:val="18"/>
        </w:rPr>
        <w:t xml:space="preserve">6. </w:t>
      </w:r>
      <w:r>
        <w:rPr>
          <w:b/>
          <w:i w:val="0"/>
          <w:color w:val="202426"/>
          <w:sz w:val="18"/>
        </w:rPr>
        <w:t xml:space="preserve">Vonis Komposit Sulawesi Tengah (Skor 4.0 / 5.0 — Melampaui Batas): </w:t>
      </w:r>
      <w:r>
        <w:rPr>
          <w:b w:val="0"/>
          <w:i w:val="0"/>
          <w:color w:val="202426"/>
          <w:sz w:val="18"/>
        </w:rPr>
        <w:t>Secara agregat, Sulawesi Tengah memperoleh Skor Komposit 4.0 / 5.0 (Ekuivalen WSM 7.92 / 10.0) dengan status MELAMPAUI BATAS (RED ALERT).</w:t>
      </w:r>
    </w:p>
    <w:p>
      <w:r>
        <w:br w:type="page"/>
      </w:r>
    </w:p>
    <w:p>
      <w:pPr>
        <w:keepNext/>
        <w:spacing w:before="240" w:after="80"/>
      </w:pPr>
      <w:r>
        <w:rPr>
          <w:b/>
          <w:color w:val="0F4C5C"/>
          <w:sz w:val="22"/>
        </w:rPr>
        <w:t>6.6.2 Evaluasi Forensik D3TLH: Provinsi Sulawesi Tenggara (Sultra)</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BIOREGION: Provinsi Sulawesi Tenggara (Episentrum Konflik Agraria &amp; Kepadatan IUP Ekstrem)</w:t>
              <w:br/>
            </w:r>
            <w:r>
              <w:rPr>
                <w:color w:val="202426"/>
                <w:sz w:val="16"/>
              </w:rPr>
              <w:t>Data empiris: Gabungan sensor satelit NASA TROPOMI NO2, Global Energy Monitor (PLTU Captive Morosi &amp; Konawe 1.900 MW), Rekam Medis Kemenkes (Diare &amp; ISPA), Laporan Kinerja KLHK (Limbah B3 &amp; Tailing 6,5 Jt Ton), Global Forest Watch (Deforestasi 337k Ha), BNPB (158 Bencana Alam), Konsorsium Pembaruan Agraria &amp; TanahKita (39.821 Jiwa Terdampak &amp; 5 Kasus Pelanggaran FPIC), serta Minerba ESDM (Kepadatan IUP 11,72% Daratan &amp; 160 IUP Baru). Diolah menggunakan model hybrid Z-Score Anomali Deviasi Standar dan Entropy Weight Method (EWM) sesuai antarmuka Dashboard Streamlit Tab 3 (Bedah Matematika Z-Score + EWM per Provinsi).</w:t>
            </w:r>
          </w:p>
        </w:tc>
      </w:tr>
    </w:tbl>
    <w:p>
      <w:pPr>
        <w:spacing w:before="0" w:after="80"/>
      </w:pPr>
    </w:p>
    <w:p>
      <w:pPr>
        <w:keepNext/>
        <w:spacing w:before="160" w:after="60"/>
      </w:pPr>
      <w:r>
        <w:rPr>
          <w:b/>
          <w:color w:val="143642"/>
          <w:sz w:val="19"/>
        </w:rPr>
        <w:t>A. Pengantar &amp; Kerangka Narasi</w:t>
      </w:r>
    </w:p>
    <w:p>
      <w:pPr>
        <w:spacing w:before="0" w:after="100" w:line="276" w:lineRule="auto"/>
      </w:pPr>
      <w:r>
        <w:rPr>
          <w:b w:val="0"/>
          <w:i w:val="0"/>
          <w:color w:val="202426"/>
          <w:sz w:val="18"/>
        </w:rPr>
        <w:t xml:space="preserve">Berdasarkan hasil pemetaan empiris di antarmuka Streamlit </w:t>
      </w:r>
      <w:r>
        <w:rPr>
          <w:b/>
          <w:i w:val="0"/>
          <w:color w:val="202426"/>
          <w:sz w:val="18"/>
        </w:rPr>
        <w:t>Dashboard Page 6 (Audit D3TLH - Tab Bedah Matematika Z-Score + EWM per Provinsi)</w:t>
      </w:r>
      <w:r>
        <w:rPr>
          <w:b w:val="0"/>
          <w:i w:val="0"/>
          <w:color w:val="202426"/>
          <w:sz w:val="18"/>
        </w:rPr>
        <w:t xml:space="preserve">, Provinsi Sulawesi Tenggara memperlihatkan profil anomali yang sangat spesifik dan kontras dibandingkan Sulawesi Tengah. Jika tekanan ekologis di Sulawesi Tengah didominasi oleh polusi udara PLTU raksasa dan deforestasi daratan, maka </w:t>
      </w:r>
      <w:r>
        <w:rPr>
          <w:b/>
          <w:i w:val="0"/>
          <w:color w:val="202426"/>
          <w:sz w:val="18"/>
        </w:rPr>
        <w:t>Sulawesi Tenggara mengalami ledakan krisis daya dukung sosial, perampasan ruang hidup masyarakat pesisir, dan kepadatan konsesi tambang tertinggi se-Sulawesi.</w:t>
      </w:r>
    </w:p>
    <w:p>
      <w:pPr>
        <w:spacing w:before="0" w:after="100" w:line="276" w:lineRule="auto"/>
      </w:pPr>
      <w:r>
        <w:rPr>
          <w:b w:val="0"/>
          <w:i w:val="0"/>
          <w:color w:val="202426"/>
          <w:sz w:val="18"/>
        </w:rPr>
        <w:t xml:space="preserve">Fakta lapangan mencatat bahwa konsesi tambang nikel di Sulawesi Tenggara telah mencaplok </w:t>
      </w:r>
      <w:r>
        <w:rPr>
          <w:b/>
          <w:i w:val="0"/>
          <w:color w:val="202426"/>
          <w:sz w:val="18"/>
        </w:rPr>
        <w:t>11,72% dari seluruh luas daratan provinsi</w:t>
      </w:r>
      <w:r>
        <w:rPr>
          <w:b w:val="0"/>
          <w:i w:val="0"/>
          <w:color w:val="202426"/>
          <w:sz w:val="18"/>
        </w:rPr>
        <w:t xml:space="preserve"> (skor Z-Score anomali Z = +1.50σ). Akibatnya, terjadi eskalasi perampasan ruang hidup yang berdampak langsung pada </w:t>
      </w:r>
      <w:r>
        <w:rPr>
          <w:b/>
          <w:i w:val="0"/>
          <w:color w:val="202426"/>
          <w:sz w:val="18"/>
        </w:rPr>
        <w:t>39.821 jiwa petani, nelayan, dan masyarakat pesisir (Z = +1.95σ, Skor Likert 5.0 - Outlier Tertinggi se-Sulawesi)</w:t>
      </w:r>
      <w:r>
        <w:rPr>
          <w:b w:val="0"/>
          <w:i w:val="0"/>
          <w:color w:val="202426"/>
          <w:sz w:val="18"/>
        </w:rPr>
        <w:t>, serta memicu 5 kasus sengketa pelanggaran persetujuan warga (FPIC) di pulau-pulau kecil seperti Pulau Wawonii (Konawe Kepulauan).</w:t>
      </w:r>
    </w:p>
    <w:p>
      <w:pPr>
        <w:keepNext/>
        <w:spacing w:before="160" w:after="60"/>
      </w:pPr>
      <w:r>
        <w:rPr>
          <w:b/>
          <w:color w:val="143642"/>
          <w:sz w:val="19"/>
        </w:rPr>
        <w:t>B. Alur Logika Metodologis Skoring Tingkat Provinsi (Flowchart Sultra)</w:t>
      </w:r>
    </w:p>
    <w:p>
      <w:pPr>
        <w:keepNext/>
        <w:spacing w:before="160" w:after="60"/>
      </w:pPr>
      <w:r>
        <w:rPr>
          <w:b/>
          <w:i/>
          <w:color w:val="143642"/>
          <w:sz w:val="17"/>
        </w:rPr>
        <w:t>Bagan Alur 6.6b: Alur Logika Pemrosesan Algoritma Skoring Provinsi Sulawesi Tenggara</w:t>
      </w:r>
    </w:p>
    <w:p>
      <w:pPr>
        <w:jc w:val="center"/>
      </w:pPr>
      <w:r>
        <w:drawing>
          <wp:inline xmlns:a="http://schemas.openxmlformats.org/drawingml/2006/main" xmlns:pic="http://schemas.openxmlformats.org/drawingml/2006/picture">
            <wp:extent cx="5400000" cy="830987"/>
            <wp:docPr id="2" name="Picture 2"/>
            <wp:cNvGraphicFramePr>
              <a:graphicFrameLocks noChangeAspect="1"/>
            </wp:cNvGraphicFramePr>
            <a:graphic>
              <a:graphicData uri="http://schemas.openxmlformats.org/drawingml/2006/picture">
                <pic:pic>
                  <pic:nvPicPr>
                    <pic:cNvPr id="0" name="mermaid_flowchart_6_6_sultra.png"/>
                    <pic:cNvPicPr/>
                  </pic:nvPicPr>
                  <pic:blipFill>
                    <a:blip r:embed="rId10"/>
                    <a:stretch>
                      <a:fillRect/>
                    </a:stretch>
                  </pic:blipFill>
                  <pic:spPr>
                    <a:xfrm>
                      <a:off x="0" y="0"/>
                      <a:ext cx="5400000" cy="830987"/>
                    </a:xfrm>
                    <a:prstGeom prst="rect"/>
                  </pic:spPr>
                </pic:pic>
              </a:graphicData>
            </a:graphic>
          </wp:inline>
        </w:drawing>
      </w:r>
    </w:p>
    <w:p>
      <w:pPr>
        <w:keepNext/>
        <w:spacing w:before="160" w:after="60"/>
      </w:pPr>
      <w:r>
        <w:rPr>
          <w:b/>
          <w:color w:val="143642"/>
          <w:sz w:val="19"/>
        </w:rPr>
        <w:t>C. Formulasi Matematis &amp; Definisi Variabel</w:t>
      </w:r>
    </w:p>
    <w:p>
      <w:pPr>
        <w:spacing w:before="0" w:after="100" w:line="276" w:lineRule="auto"/>
      </w:pPr>
      <w:r>
        <w:rPr>
          <w:b w:val="0"/>
          <w:i w:val="0"/>
          <w:color w:val="202426"/>
          <w:sz w:val="18"/>
        </w:rPr>
        <w:t>Operasionalisasi skoring di Sulawesi Tenggara menggunakan model normalisasi dan pembobotan EWM yang konsisten dengan standar regional se-Sulawesi:</w:t>
      </w:r>
    </w:p>
    <w:p>
      <w:pPr>
        <w:keepNext/>
        <w:spacing w:before="100" w:after="40"/>
      </w:pPr>
      <w:r>
        <w:rPr>
          <w:b/>
          <w:color w:val="0F4C5C"/>
          <w:sz w:val="18"/>
        </w:rPr>
        <w:t>• Tahap 1: Anomali Z-Score Sultra vs Rata-rata Bioregion</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Z_sultra,j = (x_sultra,j - mean(x_j)) / std(x_j)</w:t>
            </w:r>
          </w:p>
        </w:tc>
      </w:tr>
    </w:tbl>
    <w:p>
      <w:pPr>
        <w:spacing w:before="40" w:after="100" w:line="264" w:lineRule="auto"/>
        <w:ind w:left="283"/>
      </w:pPr>
      <w:r>
        <w:rPr>
          <w:b/>
          <w:color w:val="202426"/>
          <w:sz w:val="16"/>
        </w:rPr>
        <w:t xml:space="preserve">  - Kepadatan IUP Sultra: </w:t>
      </w:r>
      <w:r>
        <w:rPr>
          <w:color w:val="555555"/>
          <w:sz w:val="16"/>
        </w:rPr>
        <w:t>Nilai 11,72% menghasilkan Z = +1.50σ (Outlier Ekstrem Likert 5.0; rerata regional hanya 5,08%).</w:t>
        <w:br/>
      </w:r>
      <w:r>
        <w:rPr>
          <w:b/>
          <w:color w:val="202426"/>
          <w:sz w:val="16"/>
        </w:rPr>
        <w:t xml:space="preserve">  - Korban Agraria Sultra: </w:t>
      </w:r>
      <w:r>
        <w:rPr>
          <w:color w:val="555555"/>
          <w:sz w:val="16"/>
        </w:rPr>
        <w:t>Nilai 39.821 jiwa menghasilkan Z = +1.95σ (Skor Likert 5.0; mencakup 73% total korban se-Sulawesi).</w:t>
        <w:br/>
      </w:r>
      <w:r>
        <w:rPr>
          <w:b/>
          <w:color w:val="202426"/>
          <w:sz w:val="16"/>
        </w:rPr>
        <w:t xml:space="preserve">  - Pelanggaran FPIC Sultra: </w:t>
      </w:r>
      <w:r>
        <w:rPr>
          <w:color w:val="555555"/>
          <w:sz w:val="16"/>
        </w:rPr>
        <w:t>Nilai 5 kasus menghasilkan Z = +1.86σ (Skor Likert 5.0; tertinggi di seluruh bioregion).</w:t>
        <w:br/>
      </w:r>
    </w:p>
    <w:p>
      <w:pPr>
        <w:keepNext/>
        <w:spacing w:before="100" w:after="40"/>
      </w:pPr>
      <w:r>
        <w:rPr>
          <w:b/>
          <w:color w:val="0F4C5C"/>
          <w:sz w:val="18"/>
        </w:rPr>
        <w:t>• Tahap 2 &amp; 3: Pembobotan Entropi EWM &amp; Transformasi Likert Sultra</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W_j = (1 - E_j) / SUM(1 - E_j)    ;    Skor_Pilar = SUM(L_sultra,j * W_j) / SUM(W_j)</w:t>
            </w:r>
          </w:p>
        </w:tc>
      </w:tr>
    </w:tbl>
    <w:p>
      <w:pPr>
        <w:spacing w:before="40" w:after="100" w:line="264" w:lineRule="auto"/>
        <w:ind w:left="283"/>
      </w:pPr>
      <w:r>
        <w:rPr>
          <w:b/>
          <w:color w:val="202426"/>
          <w:sz w:val="16"/>
        </w:rPr>
        <w:t xml:space="preserve">  - Bobot EWM Korban Jiwa: </w:t>
      </w:r>
      <w:r>
        <w:rPr>
          <w:color w:val="555555"/>
          <w:sz w:val="16"/>
        </w:rPr>
        <w:t>Indikator jiwa terdampak memiliki varians disparitas tinggi sehingga memperoleh bobot EWM w = 0.0781.</w:t>
        <w:br/>
      </w:r>
      <w:r>
        <w:rPr>
          <w:b/>
          <w:color w:val="202426"/>
          <w:sz w:val="16"/>
        </w:rPr>
        <w:t xml:space="preserve">  - Bobot EWM FPIC: </w:t>
      </w:r>
      <w:r>
        <w:rPr>
          <w:color w:val="555555"/>
          <w:sz w:val="16"/>
        </w:rPr>
        <w:t>Indikator FPIC memiliki bobot w = 0.0635, melipatgandakan sensitivitas penilaian pilar sosial.</w:t>
        <w:br/>
      </w:r>
      <w:r>
        <w:rPr>
          <w:b/>
          <w:color w:val="202426"/>
          <w:sz w:val="16"/>
        </w:rPr>
        <w:t xml:space="preserve">  - Skor Pilar Sosial Sultra: </w:t>
      </w:r>
      <w:r>
        <w:rPr>
          <w:color w:val="555555"/>
          <w:sz w:val="16"/>
        </w:rPr>
        <w:t>Mencapai 4.5 / 5.0 (Status: Melampaui Batas / Red Alert).</w:t>
        <w:br/>
      </w:r>
    </w:p>
    <w:p>
      <w:pPr>
        <w:keepNext/>
        <w:spacing w:before="160" w:after="60"/>
      </w:pPr>
      <w:r>
        <w:rPr>
          <w:b/>
          <w:color w:val="143642"/>
          <w:sz w:val="19"/>
        </w:rPr>
        <w:t>D. Matriks Hasil Uji Empiris (Sultra)</w:t>
      </w:r>
    </w:p>
    <w:p>
      <w:pPr>
        <w:keepNext/>
        <w:spacing w:before="160" w:after="60"/>
      </w:pPr>
      <w:r>
        <w:rPr>
          <w:b/>
          <w:i/>
          <w:color w:val="143642"/>
          <w:sz w:val="17"/>
        </w:rPr>
        <w:t>Tabel 6.14: Bedah Matematika 20 Indikator Empiris Provinsi Sulawesi Tenggara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071"/>
        <w:gridCol w:w="1071"/>
        <w:gridCol w:w="1071"/>
        <w:gridCol w:w="1071"/>
        <w:gridCol w:w="1071"/>
        <w:gridCol w:w="1071"/>
        <w:gridCol w:w="1071"/>
        <w:gridCol w:w="1071"/>
        <w:gridCol w:w="1071"/>
      </w:tblGrid>
      <w:tr>
        <w:trPr>
          <w:tblHeader/>
        </w:trPr>
        <w:tc>
          <w:tcPr>
            <w:tcW w:type="dxa" w:w="850"/>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1814"/>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134"/>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Rata-rata (B)</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Deviasi (C)</w:t>
            </w:r>
          </w:p>
        </w:tc>
        <w:tc>
          <w:tcPr>
            <w:tcW w:type="dxa" w:w="850"/>
            <w:tcMar>
              <w:top w:w="100" w:type="dxa"/>
              <w:bottom w:w="100" w:type="dxa"/>
              <w:left w:w="100" w:type="dxa"/>
              <w:right w:w="100" w:type="dxa"/>
            </w:tcMar>
            <w:shd w:fill="143642"/>
            <w:vAlign w:val="center"/>
          </w:tcPr>
          <w:p>
            <w:pPr>
              <w:spacing w:before="0" w:after="0"/>
              <w:jc w:val="center"/>
            </w:pPr>
            <w:r>
              <w:rPr>
                <w:b/>
                <w:color w:val="FFFFFF"/>
                <w:sz w:val="16"/>
              </w:rPr>
              <w:t>Z-Score</w:t>
            </w:r>
          </w:p>
        </w:tc>
        <w:tc>
          <w:tcPr>
            <w:tcW w:type="dxa" w:w="850"/>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907"/>
            <w:tcMar>
              <w:top w:w="100" w:type="dxa"/>
              <w:bottom w:w="100" w:type="dxa"/>
              <w:left w:w="100" w:type="dxa"/>
              <w:right w:w="100" w:type="dxa"/>
            </w:tcMar>
            <w:shd w:fill="143642"/>
            <w:vAlign w:val="center"/>
          </w:tcPr>
          <w:p>
            <w:pPr>
              <w:spacing w:before="0" w:after="0"/>
              <w:jc w:val="center"/>
            </w:pPr>
            <w:r>
              <w:rPr>
                <w:b/>
                <w:color w:val="FFFFFF"/>
                <w:sz w:val="16"/>
              </w:rPr>
              <w:t>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1814"/>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134"/>
            <w:tcMar>
              <w:top w:w="80" w:type="dxa"/>
              <w:bottom w:w="80" w:type="dxa"/>
              <w:left w:w="80" w:type="dxa"/>
              <w:right w:w="80" w:type="dxa"/>
            </w:tcMar>
            <w:shd w:fill="FFFFFF"/>
            <w:vAlign w:val="center"/>
          </w:tcPr>
          <w:p>
            <w:pPr>
              <w:spacing w:before="0" w:after="0"/>
              <w:jc w:val="right"/>
            </w:pPr>
            <w:r>
              <w:rPr>
                <w:color w:val="202426"/>
                <w:sz w:val="15"/>
              </w:rPr>
              <w:t>1,900 MW</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1,638</w:t>
            </w:r>
          </w:p>
        </w:tc>
        <w:tc>
          <w:tcPr>
            <w:tcW w:type="dxa" w:w="964"/>
            <w:tcMar>
              <w:top w:w="80" w:type="dxa"/>
              <w:bottom w:w="80" w:type="dxa"/>
              <w:left w:w="80" w:type="dxa"/>
              <w:right w:w="80" w:type="dxa"/>
            </w:tcMar>
            <w:shd w:fill="FFFFFF"/>
            <w:vAlign w:val="center"/>
          </w:tcPr>
          <w:p>
            <w:pPr>
              <w:spacing w:before="0" w:after="0"/>
              <w:jc w:val="right"/>
            </w:pPr>
            <w:r>
              <w:rPr>
                <w:color w:val="202426"/>
                <w:sz w:val="15"/>
              </w:rPr>
              <w:t>2,882</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+0.09</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907"/>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1814"/>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134"/>
            <w:tcMar>
              <w:top w:w="80" w:type="dxa"/>
              <w:bottom w:w="80" w:type="dxa"/>
              <w:left w:w="80" w:type="dxa"/>
              <w:right w:w="80" w:type="dxa"/>
            </w:tcMar>
            <w:shd w:fill="F4F5F6"/>
            <w:vAlign w:val="center"/>
          </w:tcPr>
          <w:p>
            <w:pPr>
              <w:spacing w:before="0" w:after="0"/>
              <w:jc w:val="right"/>
            </w:pPr>
            <w:r>
              <w:rPr>
                <w:color w:val="202426"/>
                <w:sz w:val="15"/>
              </w:rPr>
              <w:t>6.62e-06</w:t>
            </w:r>
          </w:p>
        </w:tc>
        <w:tc>
          <w:tcPr>
            <w:tcW w:type="dxa" w:w="1020"/>
            <w:tcMar>
              <w:top w:w="80" w:type="dxa"/>
              <w:bottom w:w="80" w:type="dxa"/>
              <w:left w:w="80" w:type="dxa"/>
              <w:right w:w="80" w:type="dxa"/>
            </w:tcMar>
            <w:shd w:fill="F4F5F6"/>
            <w:vAlign w:val="center"/>
          </w:tcPr>
          <w:p>
            <w:pPr>
              <w:spacing w:before="0" w:after="0"/>
              <w:jc w:val="right"/>
            </w:pPr>
            <w:r>
              <w:rPr>
                <w:color w:val="202426"/>
                <w:sz w:val="15"/>
              </w:rPr>
              <w:t>5.56e-06</w:t>
            </w:r>
          </w:p>
        </w:tc>
        <w:tc>
          <w:tcPr>
            <w:tcW w:type="dxa" w:w="964"/>
            <w:tcMar>
              <w:top w:w="80" w:type="dxa"/>
              <w:bottom w:w="80" w:type="dxa"/>
              <w:left w:w="80" w:type="dxa"/>
              <w:right w:w="80" w:type="dxa"/>
            </w:tcMar>
            <w:shd w:fill="F4F5F6"/>
            <w:vAlign w:val="center"/>
          </w:tcPr>
          <w:p>
            <w:pPr>
              <w:spacing w:before="0" w:after="0"/>
              <w:jc w:val="right"/>
            </w:pPr>
            <w:r>
              <w:rPr>
                <w:color w:val="202426"/>
                <w:sz w:val="15"/>
              </w:rPr>
              <w:t>1.29e-06</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+0.82</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907"/>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1814"/>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134"/>
            <w:tcMar>
              <w:top w:w="80" w:type="dxa"/>
              <w:bottom w:w="80" w:type="dxa"/>
              <w:left w:w="80" w:type="dxa"/>
              <w:right w:w="80" w:type="dxa"/>
            </w:tcMar>
            <w:shd w:fill="FFFFFF"/>
            <w:vAlign w:val="center"/>
          </w:tcPr>
          <w:p>
            <w:pPr>
              <w:spacing w:before="0" w:after="0"/>
              <w:jc w:val="right"/>
            </w:pPr>
            <w:r>
              <w:rPr>
                <w:color w:val="202426"/>
                <w:sz w:val="15"/>
              </w:rPr>
              <w:t>0.91x</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1.41x</w:t>
            </w:r>
          </w:p>
        </w:tc>
        <w:tc>
          <w:tcPr>
            <w:tcW w:type="dxa" w:w="964"/>
            <w:tcMar>
              <w:top w:w="80" w:type="dxa"/>
              <w:bottom w:w="80" w:type="dxa"/>
              <w:left w:w="80" w:type="dxa"/>
              <w:right w:w="80" w:type="dxa"/>
            </w:tcMar>
            <w:shd w:fill="FFFFFF"/>
            <w:vAlign w:val="center"/>
          </w:tcPr>
          <w:p>
            <w:pPr>
              <w:spacing w:before="0" w:after="0"/>
              <w:jc w:val="right"/>
            </w:pPr>
            <w:r>
              <w:rPr>
                <w:color w:val="202426"/>
                <w:sz w:val="15"/>
              </w:rPr>
              <w:t>1.26x</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-0.39</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907"/>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1814"/>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134"/>
            <w:tcMar>
              <w:top w:w="80" w:type="dxa"/>
              <w:bottom w:w="80" w:type="dxa"/>
              <w:left w:w="80" w:type="dxa"/>
              <w:right w:w="80" w:type="dxa"/>
            </w:tcMar>
            <w:shd w:fill="F4F5F6"/>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4F5F6"/>
            <w:vAlign w:val="center"/>
          </w:tcPr>
          <w:p>
            <w:pPr>
              <w:spacing w:before="0" w:after="0"/>
              <w:jc w:val="right"/>
            </w:pPr>
            <w:r>
              <w:rPr>
                <w:color w:val="202426"/>
                <w:sz w:val="15"/>
              </w:rPr>
              <w:t>5.47</w:t>
            </w:r>
          </w:p>
        </w:tc>
        <w:tc>
          <w:tcPr>
            <w:tcW w:type="dxa" w:w="964"/>
            <w:tcMar>
              <w:top w:w="80" w:type="dxa"/>
              <w:bottom w:w="80" w:type="dxa"/>
              <w:left w:w="80" w:type="dxa"/>
              <w:right w:w="80" w:type="dxa"/>
            </w:tcMar>
            <w:shd w:fill="F4F5F6"/>
            <w:vAlign w:val="center"/>
          </w:tcPr>
          <w:p>
            <w:pPr>
              <w:spacing w:before="0" w:after="0"/>
              <w:jc w:val="right"/>
            </w:pPr>
            <w:r>
              <w:rPr>
                <w:color w:val="202426"/>
                <w:sz w:val="15"/>
              </w:rPr>
              <w:t>10.04</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+0.10</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907"/>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1814"/>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134"/>
            <w:tcMar>
              <w:top w:w="80" w:type="dxa"/>
              <w:bottom w:w="80" w:type="dxa"/>
              <w:left w:w="80" w:type="dxa"/>
              <w:right w:w="80" w:type="dxa"/>
            </w:tcMar>
            <w:shd w:fill="FFFFFF"/>
            <w:vAlign w:val="center"/>
          </w:tcPr>
          <w:p>
            <w:pPr>
              <w:spacing w:before="0" w:after="0"/>
              <w:jc w:val="right"/>
            </w:pPr>
            <w:r>
              <w:rPr>
                <w:color w:val="202426"/>
                <w:sz w:val="15"/>
              </w:rPr>
              <w:t>189.02 Jt Ton CO2e</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134.01</w:t>
            </w:r>
          </w:p>
        </w:tc>
        <w:tc>
          <w:tcPr>
            <w:tcW w:type="dxa" w:w="964"/>
            <w:tcMar>
              <w:top w:w="80" w:type="dxa"/>
              <w:bottom w:w="80" w:type="dxa"/>
              <w:left w:w="80" w:type="dxa"/>
              <w:right w:w="80" w:type="dxa"/>
            </w:tcMar>
            <w:shd w:fill="FFFFFF"/>
            <w:vAlign w:val="center"/>
          </w:tcPr>
          <w:p>
            <w:pPr>
              <w:spacing w:before="0" w:after="0"/>
              <w:jc w:val="right"/>
            </w:pPr>
            <w:r>
              <w:rPr>
                <w:color w:val="202426"/>
                <w:sz w:val="15"/>
              </w:rPr>
              <w:t>93.99</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+0.59</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907"/>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1814"/>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134"/>
            <w:tcMar>
              <w:top w:w="80" w:type="dxa"/>
              <w:bottom w:w="80" w:type="dxa"/>
              <w:left w:w="80" w:type="dxa"/>
              <w:right w:w="80" w:type="dxa"/>
            </w:tcMar>
            <w:shd w:fill="F4F5F6"/>
            <w:vAlign w:val="center"/>
          </w:tcPr>
          <w:p>
            <w:pPr>
              <w:spacing w:before="0" w:after="0"/>
              <w:jc w:val="right"/>
            </w:pPr>
            <w:r>
              <w:rPr>
                <w:color w:val="202426"/>
                <w:sz w:val="15"/>
              </w:rPr>
              <w:t>65.3 Poin</w:t>
            </w:r>
          </w:p>
        </w:tc>
        <w:tc>
          <w:tcPr>
            <w:tcW w:type="dxa" w:w="1020"/>
            <w:tcMar>
              <w:top w:w="80" w:type="dxa"/>
              <w:bottom w:w="80" w:type="dxa"/>
              <w:left w:w="80" w:type="dxa"/>
              <w:right w:w="80" w:type="dxa"/>
            </w:tcMar>
            <w:shd w:fill="F4F5F6"/>
            <w:vAlign w:val="center"/>
          </w:tcPr>
          <w:p>
            <w:pPr>
              <w:spacing w:before="0" w:after="0"/>
              <w:jc w:val="right"/>
            </w:pPr>
            <w:r>
              <w:rPr>
                <w:color w:val="202426"/>
                <w:sz w:val="15"/>
              </w:rPr>
              <w:t>59.7</w:t>
            </w:r>
          </w:p>
        </w:tc>
        <w:tc>
          <w:tcPr>
            <w:tcW w:type="dxa" w:w="964"/>
            <w:tcMar>
              <w:top w:w="80" w:type="dxa"/>
              <w:bottom w:w="80" w:type="dxa"/>
              <w:left w:w="80" w:type="dxa"/>
              <w:right w:w="80" w:type="dxa"/>
            </w:tcMar>
            <w:shd w:fill="F4F5F6"/>
            <w:vAlign w:val="center"/>
          </w:tcPr>
          <w:p>
            <w:pPr>
              <w:spacing w:before="0" w:after="0"/>
              <w:jc w:val="right"/>
            </w:pPr>
            <w:r>
              <w:rPr>
                <w:color w:val="202426"/>
                <w:sz w:val="15"/>
              </w:rPr>
              <w:t>3.4</w:t>
            </w:r>
          </w:p>
        </w:tc>
        <w:tc>
          <w:tcPr>
            <w:tcW w:type="dxa" w:w="850"/>
            <w:tcMar>
              <w:top w:w="80" w:type="dxa"/>
              <w:bottom w:w="80" w:type="dxa"/>
              <w:left w:w="80" w:type="dxa"/>
              <w:right w:w="80" w:type="dxa"/>
            </w:tcMar>
            <w:shd w:fill="F4F5F6"/>
            <w:vAlign w:val="center"/>
          </w:tcPr>
          <w:p>
            <w:pPr>
              <w:spacing w:before="0" w:after="0"/>
              <w:jc w:val="center"/>
            </w:pPr>
            <w:r>
              <w:rPr>
                <w:color w:val="202426"/>
                <w:sz w:val="15"/>
              </w:rPr>
              <w:t>-1.66</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907"/>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1814"/>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134"/>
            <w:tcMar>
              <w:top w:w="80" w:type="dxa"/>
              <w:bottom w:w="80" w:type="dxa"/>
              <w:left w:w="80" w:type="dxa"/>
              <w:right w:w="80" w:type="dxa"/>
            </w:tcMar>
            <w:shd w:fill="FFFFFF"/>
            <w:vAlign w:val="center"/>
          </w:tcPr>
          <w:p>
            <w:pPr>
              <w:spacing w:before="0" w:after="0"/>
              <w:jc w:val="right"/>
            </w:pPr>
            <w:r>
              <w:rPr>
                <w:color w:val="202426"/>
                <w:sz w:val="15"/>
              </w:rPr>
              <w:t>1.11x</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1.04x</w:t>
            </w:r>
          </w:p>
        </w:tc>
        <w:tc>
          <w:tcPr>
            <w:tcW w:type="dxa" w:w="964"/>
            <w:tcMar>
              <w:top w:w="80" w:type="dxa"/>
              <w:bottom w:w="80" w:type="dxa"/>
              <w:left w:w="80" w:type="dxa"/>
              <w:right w:w="80" w:type="dxa"/>
            </w:tcMar>
            <w:shd w:fill="FFFFFF"/>
            <w:vAlign w:val="center"/>
          </w:tcPr>
          <w:p>
            <w:pPr>
              <w:spacing w:before="0" w:after="0"/>
              <w:jc w:val="right"/>
            </w:pPr>
            <w:r>
              <w:rPr>
                <w:color w:val="202426"/>
                <w:sz w:val="15"/>
              </w:rPr>
              <w:t>0.36x</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+0.18</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907"/>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1814"/>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134"/>
            <w:tcMar>
              <w:top w:w="80" w:type="dxa"/>
              <w:bottom w:w="80" w:type="dxa"/>
              <w:left w:w="80" w:type="dxa"/>
              <w:right w:w="80" w:type="dxa"/>
            </w:tcMar>
            <w:shd w:fill="F4F5F6"/>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4F5F6"/>
            <w:vAlign w:val="center"/>
          </w:tcPr>
          <w:p>
            <w:pPr>
              <w:spacing w:before="0" w:after="0"/>
              <w:jc w:val="right"/>
            </w:pPr>
            <w:r>
              <w:rPr>
                <w:color w:val="202426"/>
                <w:sz w:val="15"/>
              </w:rPr>
              <w:t>2.5</w:t>
            </w:r>
          </w:p>
        </w:tc>
        <w:tc>
          <w:tcPr>
            <w:tcW w:type="dxa" w:w="964"/>
            <w:tcMar>
              <w:top w:w="80" w:type="dxa"/>
              <w:bottom w:w="80" w:type="dxa"/>
              <w:left w:w="80" w:type="dxa"/>
              <w:right w:w="80" w:type="dxa"/>
            </w:tcMar>
            <w:shd w:fill="F4F5F6"/>
            <w:vAlign w:val="center"/>
          </w:tcPr>
          <w:p>
            <w:pPr>
              <w:spacing w:before="0" w:after="0"/>
              <w:jc w:val="right"/>
            </w:pPr>
            <w:r>
              <w:rPr>
                <w:color w:val="202426"/>
                <w:sz w:val="15"/>
              </w:rPr>
              <w:t>2.9</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+0.87</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907"/>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1814"/>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134"/>
            <w:tcMar>
              <w:top w:w="80" w:type="dxa"/>
              <w:bottom w:w="80" w:type="dxa"/>
              <w:left w:w="80" w:type="dxa"/>
              <w:right w:w="80" w:type="dxa"/>
            </w:tcMar>
            <w:shd w:fill="FFFFFF"/>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FFFFF"/>
            <w:vAlign w:val="center"/>
          </w:tcPr>
          <w:p>
            <w:pPr>
              <w:spacing w:before="0" w:after="0"/>
              <w:jc w:val="right"/>
            </w:pPr>
            <w:r>
              <w:rPr>
                <w:color w:val="202426"/>
                <w:sz w:val="15"/>
              </w:rPr>
              <w:t>5.34</w:t>
            </w:r>
          </w:p>
        </w:tc>
        <w:tc>
          <w:tcPr>
            <w:tcW w:type="dxa" w:w="964"/>
            <w:tcMar>
              <w:top w:w="80" w:type="dxa"/>
              <w:bottom w:w="80" w:type="dxa"/>
              <w:left w:w="80" w:type="dxa"/>
              <w:right w:w="80" w:type="dxa"/>
            </w:tcMar>
            <w:shd w:fill="FFFFFF"/>
            <w:vAlign w:val="center"/>
          </w:tcPr>
          <w:p>
            <w:pPr>
              <w:spacing w:before="0" w:after="0"/>
              <w:jc w:val="right"/>
            </w:pPr>
            <w:r>
              <w:rPr>
                <w:color w:val="202426"/>
                <w:sz w:val="15"/>
              </w:rPr>
              <w:t>9.73</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+0.12</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907"/>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1814"/>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134"/>
            <w:tcMar>
              <w:top w:w="80" w:type="dxa"/>
              <w:bottom w:w="80" w:type="dxa"/>
              <w:left w:w="80" w:type="dxa"/>
              <w:right w:w="80" w:type="dxa"/>
            </w:tcMar>
            <w:shd w:fill="F4F5F6"/>
            <w:vAlign w:val="center"/>
          </w:tcPr>
          <w:p>
            <w:pPr>
              <w:spacing w:before="0" w:after="0"/>
              <w:jc w:val="right"/>
            </w:pPr>
            <w:r>
              <w:rPr>
                <w:color w:val="202426"/>
                <w:sz w:val="15"/>
              </w:rPr>
              <w:t>158 Kejadian</w:t>
            </w:r>
          </w:p>
        </w:tc>
        <w:tc>
          <w:tcPr>
            <w:tcW w:type="dxa" w:w="1020"/>
            <w:tcMar>
              <w:top w:w="80" w:type="dxa"/>
              <w:bottom w:w="80" w:type="dxa"/>
              <w:left w:w="80" w:type="dxa"/>
              <w:right w:w="80" w:type="dxa"/>
            </w:tcMar>
            <w:shd w:fill="F4F5F6"/>
            <w:vAlign w:val="center"/>
          </w:tcPr>
          <w:p>
            <w:pPr>
              <w:spacing w:before="0" w:after="0"/>
              <w:jc w:val="right"/>
            </w:pPr>
            <w:r>
              <w:rPr>
                <w:color w:val="202426"/>
                <w:sz w:val="15"/>
              </w:rPr>
              <w:t>268.2</w:t>
            </w:r>
          </w:p>
        </w:tc>
        <w:tc>
          <w:tcPr>
            <w:tcW w:type="dxa" w:w="964"/>
            <w:tcMar>
              <w:top w:w="80" w:type="dxa"/>
              <w:bottom w:w="80" w:type="dxa"/>
              <w:left w:w="80" w:type="dxa"/>
              <w:right w:w="80" w:type="dxa"/>
            </w:tcMar>
            <w:shd w:fill="F4F5F6"/>
            <w:vAlign w:val="center"/>
          </w:tcPr>
          <w:p>
            <w:pPr>
              <w:spacing w:before="0" w:after="0"/>
              <w:jc w:val="right"/>
            </w:pPr>
            <w:r>
              <w:rPr>
                <w:color w:val="202426"/>
                <w:sz w:val="15"/>
              </w:rPr>
              <w:t>246.6</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-0.45</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907"/>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1814"/>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134"/>
            <w:tcMar>
              <w:top w:w="80" w:type="dxa"/>
              <w:bottom w:w="80" w:type="dxa"/>
              <w:left w:w="80" w:type="dxa"/>
              <w:right w:w="80" w:type="dxa"/>
            </w:tcMar>
            <w:shd w:fill="FFFFFF"/>
            <w:vAlign w:val="center"/>
          </w:tcPr>
          <w:p>
            <w:pPr>
              <w:spacing w:before="0" w:after="0"/>
              <w:jc w:val="right"/>
            </w:pPr>
            <w:r>
              <w:rPr>
                <w:color w:val="202426"/>
                <w:sz w:val="15"/>
              </w:rPr>
              <w:t>337,434 Ha</w:t>
            </w:r>
          </w:p>
        </w:tc>
        <w:tc>
          <w:tcPr>
            <w:tcW w:type="dxa" w:w="1020"/>
            <w:tcMar>
              <w:top w:w="80" w:type="dxa"/>
              <w:bottom w:w="80" w:type="dxa"/>
              <w:left w:w="80" w:type="dxa"/>
              <w:right w:w="80" w:type="dxa"/>
            </w:tcMar>
            <w:shd w:fill="FFFFFF"/>
            <w:vAlign w:val="center"/>
          </w:tcPr>
          <w:p>
            <w:pPr>
              <w:spacing w:before="0" w:after="0"/>
              <w:jc w:val="right"/>
            </w:pPr>
            <w:r>
              <w:rPr>
                <w:color w:val="202426"/>
                <w:sz w:val="15"/>
              </w:rPr>
              <w:t>231,009</w:t>
            </w:r>
          </w:p>
        </w:tc>
        <w:tc>
          <w:tcPr>
            <w:tcW w:type="dxa" w:w="964"/>
            <w:tcMar>
              <w:top w:w="80" w:type="dxa"/>
              <w:bottom w:w="80" w:type="dxa"/>
              <w:left w:w="80" w:type="dxa"/>
              <w:right w:w="80" w:type="dxa"/>
            </w:tcMar>
            <w:shd w:fill="FFFFFF"/>
            <w:vAlign w:val="center"/>
          </w:tcPr>
          <w:p>
            <w:pPr>
              <w:spacing w:before="0" w:after="0"/>
              <w:jc w:val="right"/>
            </w:pPr>
            <w:r>
              <w:rPr>
                <w:color w:val="202426"/>
                <w:sz w:val="15"/>
              </w:rPr>
              <w:t>159,368</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+0.67</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907"/>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1814"/>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134"/>
            <w:tcMar>
              <w:top w:w="80" w:type="dxa"/>
              <w:bottom w:w="80" w:type="dxa"/>
              <w:left w:w="80" w:type="dxa"/>
              <w:right w:w="80" w:type="dxa"/>
            </w:tcMar>
            <w:shd w:fill="F4F5F6"/>
            <w:vAlign w:val="center"/>
          </w:tcPr>
          <w:p>
            <w:pPr>
              <w:spacing w:before="0" w:after="0"/>
              <w:jc w:val="right"/>
            </w:pPr>
            <w:r>
              <w:rPr>
                <w:color w:val="202426"/>
                <w:sz w:val="15"/>
              </w:rPr>
              <w:t>8,236 Ha</w:t>
            </w:r>
          </w:p>
        </w:tc>
        <w:tc>
          <w:tcPr>
            <w:tcW w:type="dxa" w:w="1020"/>
            <w:tcMar>
              <w:top w:w="80" w:type="dxa"/>
              <w:bottom w:w="80" w:type="dxa"/>
              <w:left w:w="80" w:type="dxa"/>
              <w:right w:w="80" w:type="dxa"/>
            </w:tcMar>
            <w:shd w:fill="F4F5F6"/>
            <w:vAlign w:val="center"/>
          </w:tcPr>
          <w:p>
            <w:pPr>
              <w:spacing w:before="0" w:after="0"/>
              <w:jc w:val="right"/>
            </w:pPr>
            <w:r>
              <w:rPr>
                <w:color w:val="202426"/>
                <w:sz w:val="15"/>
              </w:rPr>
              <w:t>6,964</w:t>
            </w:r>
          </w:p>
        </w:tc>
        <w:tc>
          <w:tcPr>
            <w:tcW w:type="dxa" w:w="964"/>
            <w:tcMar>
              <w:top w:w="80" w:type="dxa"/>
              <w:bottom w:w="80" w:type="dxa"/>
              <w:left w:w="80" w:type="dxa"/>
              <w:right w:w="80" w:type="dxa"/>
            </w:tcMar>
            <w:shd w:fill="F4F5F6"/>
            <w:vAlign w:val="center"/>
          </w:tcPr>
          <w:p>
            <w:pPr>
              <w:spacing w:before="0" w:after="0"/>
              <w:jc w:val="right"/>
            </w:pPr>
            <w:r>
              <w:rPr>
                <w:color w:val="202426"/>
                <w:sz w:val="15"/>
              </w:rPr>
              <w:t>6,775</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+0.19</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907"/>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1814"/>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134"/>
            <w:tcMar>
              <w:top w:w="80" w:type="dxa"/>
              <w:bottom w:w="80" w:type="dxa"/>
              <w:left w:w="80" w:type="dxa"/>
              <w:right w:w="80" w:type="dxa"/>
            </w:tcMar>
            <w:shd w:fill="FFFFFF"/>
            <w:vAlign w:val="center"/>
          </w:tcPr>
          <w:p>
            <w:pPr>
              <w:spacing w:before="0" w:after="0"/>
              <w:jc w:val="right"/>
            </w:pPr>
            <w:r>
              <w:rPr>
                <w:color w:val="202426"/>
                <w:sz w:val="15"/>
              </w:rPr>
              <w:t>243,001 Ha</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166,942</w:t>
            </w:r>
          </w:p>
        </w:tc>
        <w:tc>
          <w:tcPr>
            <w:tcW w:type="dxa" w:w="964"/>
            <w:tcMar>
              <w:top w:w="80" w:type="dxa"/>
              <w:bottom w:w="80" w:type="dxa"/>
              <w:left w:w="80" w:type="dxa"/>
              <w:right w:w="80" w:type="dxa"/>
            </w:tcMar>
            <w:shd w:fill="FFFFFF"/>
            <w:vAlign w:val="center"/>
          </w:tcPr>
          <w:p>
            <w:pPr>
              <w:spacing w:before="0" w:after="0"/>
              <w:jc w:val="right"/>
            </w:pPr>
            <w:r>
              <w:rPr>
                <w:color w:val="202426"/>
                <w:sz w:val="15"/>
              </w:rPr>
              <w:t>128,370</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+0.59</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907"/>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1814"/>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134"/>
            <w:tcMar>
              <w:top w:w="80" w:type="dxa"/>
              <w:bottom w:w="80" w:type="dxa"/>
              <w:left w:w="80" w:type="dxa"/>
              <w:right w:w="80" w:type="dxa"/>
            </w:tcMar>
            <w:shd w:fill="F4F5F6"/>
            <w:vAlign w:val="center"/>
          </w:tcPr>
          <w:p>
            <w:pPr>
              <w:spacing w:before="0" w:after="0"/>
              <w:jc w:val="right"/>
            </w:pPr>
            <w:r>
              <w:rPr>
                <w:color w:val="202426"/>
                <w:sz w:val="15"/>
              </w:rPr>
              <w:t>11.72%</w:t>
            </w:r>
          </w:p>
        </w:tc>
        <w:tc>
          <w:tcPr>
            <w:tcW w:type="dxa" w:w="1020"/>
            <w:tcMar>
              <w:top w:w="80" w:type="dxa"/>
              <w:bottom w:w="80" w:type="dxa"/>
              <w:left w:w="80" w:type="dxa"/>
              <w:right w:w="80" w:type="dxa"/>
            </w:tcMar>
            <w:shd w:fill="F4F5F6"/>
            <w:vAlign w:val="center"/>
          </w:tcPr>
          <w:p>
            <w:pPr>
              <w:spacing w:before="0" w:after="0"/>
              <w:jc w:val="right"/>
            </w:pPr>
            <w:r>
              <w:rPr>
                <w:color w:val="202426"/>
                <w:sz w:val="15"/>
              </w:rPr>
              <w:t>5.08%</w:t>
            </w:r>
          </w:p>
        </w:tc>
        <w:tc>
          <w:tcPr>
            <w:tcW w:type="dxa" w:w="964"/>
            <w:tcMar>
              <w:top w:w="80" w:type="dxa"/>
              <w:bottom w:w="80" w:type="dxa"/>
              <w:left w:w="80" w:type="dxa"/>
              <w:right w:w="80" w:type="dxa"/>
            </w:tcMar>
            <w:shd w:fill="F4F5F6"/>
            <w:vAlign w:val="center"/>
          </w:tcPr>
          <w:p>
            <w:pPr>
              <w:spacing w:before="0" w:after="0"/>
              <w:jc w:val="right"/>
            </w:pPr>
            <w:r>
              <w:rPr>
                <w:color w:val="202426"/>
                <w:sz w:val="15"/>
              </w:rPr>
              <w:t>4.43%</w:t>
            </w:r>
          </w:p>
        </w:tc>
        <w:tc>
          <w:tcPr>
            <w:tcW w:type="dxa" w:w="850"/>
            <w:tcMar>
              <w:top w:w="80" w:type="dxa"/>
              <w:bottom w:w="80" w:type="dxa"/>
              <w:left w:w="80" w:type="dxa"/>
              <w:right w:w="80" w:type="dxa"/>
            </w:tcMar>
            <w:shd w:fill="F4F5F6"/>
            <w:vAlign w:val="center"/>
          </w:tcPr>
          <w:p>
            <w:pPr>
              <w:spacing w:before="0" w:after="0"/>
              <w:jc w:val="center"/>
            </w:pPr>
            <w:r>
              <w:rPr>
                <w:color w:val="202426"/>
                <w:sz w:val="15"/>
              </w:rPr>
              <w:t>+1.50</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907"/>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1814"/>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134"/>
            <w:tcMar>
              <w:top w:w="80" w:type="dxa"/>
              <w:bottom w:w="80" w:type="dxa"/>
              <w:left w:w="80" w:type="dxa"/>
              <w:right w:w="80" w:type="dxa"/>
            </w:tcMar>
            <w:shd w:fill="FFFFFF"/>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FFFFF"/>
            <w:vAlign w:val="center"/>
          </w:tcPr>
          <w:p>
            <w:pPr>
              <w:spacing w:before="0" w:after="0"/>
              <w:jc w:val="right"/>
            </w:pPr>
            <w:r>
              <w:rPr>
                <w:color w:val="202426"/>
                <w:sz w:val="15"/>
              </w:rPr>
              <w:t>1.3</w:t>
            </w:r>
          </w:p>
        </w:tc>
        <w:tc>
          <w:tcPr>
            <w:tcW w:type="dxa" w:w="964"/>
            <w:tcMar>
              <w:top w:w="80" w:type="dxa"/>
              <w:bottom w:w="80" w:type="dxa"/>
              <w:left w:w="80" w:type="dxa"/>
              <w:right w:w="80" w:type="dxa"/>
            </w:tcMar>
            <w:shd w:fill="FFFFFF"/>
            <w:vAlign w:val="center"/>
          </w:tcPr>
          <w:p>
            <w:pPr>
              <w:spacing w:before="0" w:after="0"/>
              <w:jc w:val="right"/>
            </w:pPr>
            <w:r>
              <w:rPr>
                <w:color w:val="202426"/>
                <w:sz w:val="15"/>
              </w:rPr>
              <w:t>2.0</w:t>
            </w:r>
          </w:p>
        </w:tc>
        <w:tc>
          <w:tcPr>
            <w:tcW w:type="dxa" w:w="850"/>
            <w:tcMar>
              <w:top w:w="80" w:type="dxa"/>
              <w:bottom w:w="80" w:type="dxa"/>
              <w:left w:w="80" w:type="dxa"/>
              <w:right w:w="80" w:type="dxa"/>
            </w:tcMar>
            <w:shd w:fill="FFFFFF"/>
            <w:vAlign w:val="center"/>
          </w:tcPr>
          <w:p>
            <w:pPr>
              <w:spacing w:before="0" w:after="0"/>
              <w:jc w:val="center"/>
            </w:pPr>
            <w:r>
              <w:rPr>
                <w:color w:val="202426"/>
                <w:sz w:val="15"/>
              </w:rPr>
              <w:t>+1.86</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907"/>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1814"/>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134"/>
            <w:tcMar>
              <w:top w:w="80" w:type="dxa"/>
              <w:bottom w:w="80" w:type="dxa"/>
              <w:left w:w="80" w:type="dxa"/>
              <w:right w:w="80" w:type="dxa"/>
            </w:tcMar>
            <w:shd w:fill="F4F5F6"/>
            <w:vAlign w:val="center"/>
          </w:tcPr>
          <w:p>
            <w:pPr>
              <w:spacing w:before="0" w:after="0"/>
              <w:jc w:val="right"/>
            </w:pPr>
            <w:r>
              <w:rPr>
                <w:color w:val="202426"/>
                <w:sz w:val="15"/>
              </w:rPr>
              <w:t>39,821 Jiwa</w:t>
            </w:r>
          </w:p>
        </w:tc>
        <w:tc>
          <w:tcPr>
            <w:tcW w:type="dxa" w:w="1020"/>
            <w:tcMar>
              <w:top w:w="80" w:type="dxa"/>
              <w:bottom w:w="80" w:type="dxa"/>
              <w:left w:w="80" w:type="dxa"/>
              <w:right w:w="80" w:type="dxa"/>
            </w:tcMar>
            <w:shd w:fill="F4F5F6"/>
            <w:vAlign w:val="center"/>
          </w:tcPr>
          <w:p>
            <w:pPr>
              <w:spacing w:before="0" w:after="0"/>
              <w:jc w:val="right"/>
            </w:pPr>
            <w:r>
              <w:rPr>
                <w:color w:val="202426"/>
                <w:sz w:val="15"/>
              </w:rPr>
              <w:t>9,052</w:t>
            </w:r>
          </w:p>
        </w:tc>
        <w:tc>
          <w:tcPr>
            <w:tcW w:type="dxa" w:w="964"/>
            <w:tcMar>
              <w:top w:w="80" w:type="dxa"/>
              <w:bottom w:w="80" w:type="dxa"/>
              <w:left w:w="80" w:type="dxa"/>
              <w:right w:w="80" w:type="dxa"/>
            </w:tcMar>
            <w:shd w:fill="F4F5F6"/>
            <w:vAlign w:val="center"/>
          </w:tcPr>
          <w:p>
            <w:pPr>
              <w:spacing w:before="0" w:after="0"/>
              <w:jc w:val="right"/>
            </w:pPr>
            <w:r>
              <w:rPr>
                <w:color w:val="202426"/>
                <w:sz w:val="15"/>
              </w:rPr>
              <w:t>15,804</w:t>
            </w:r>
          </w:p>
        </w:tc>
        <w:tc>
          <w:tcPr>
            <w:tcW w:type="dxa" w:w="850"/>
            <w:tcMar>
              <w:top w:w="80" w:type="dxa"/>
              <w:bottom w:w="80" w:type="dxa"/>
              <w:left w:w="80" w:type="dxa"/>
              <w:right w:w="80" w:type="dxa"/>
            </w:tcMar>
            <w:shd w:fill="F4F5F6"/>
            <w:vAlign w:val="center"/>
          </w:tcPr>
          <w:p>
            <w:pPr>
              <w:spacing w:before="0" w:after="0"/>
              <w:jc w:val="center"/>
            </w:pPr>
            <w:r>
              <w:rPr>
                <w:color w:val="202426"/>
                <w:sz w:val="15"/>
              </w:rPr>
              <w:t>+1.95</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907"/>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1814"/>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134"/>
            <w:tcMar>
              <w:top w:w="80" w:type="dxa"/>
              <w:bottom w:w="80" w:type="dxa"/>
              <w:left w:w="80" w:type="dxa"/>
              <w:right w:w="80" w:type="dxa"/>
            </w:tcMar>
            <w:shd w:fill="FFFFFF"/>
            <w:vAlign w:val="center"/>
          </w:tcPr>
          <w:p>
            <w:pPr>
              <w:spacing w:before="0" w:after="0"/>
              <w:jc w:val="right"/>
            </w:pPr>
            <w:r>
              <w:rPr>
                <w:color w:val="202426"/>
                <w:sz w:val="15"/>
              </w:rPr>
              <w:t>4 Insiden</w:t>
            </w:r>
          </w:p>
        </w:tc>
        <w:tc>
          <w:tcPr>
            <w:tcW w:type="dxa" w:w="1020"/>
            <w:tcMar>
              <w:top w:w="80" w:type="dxa"/>
              <w:bottom w:w="80" w:type="dxa"/>
              <w:left w:w="80" w:type="dxa"/>
              <w:right w:w="80" w:type="dxa"/>
            </w:tcMar>
            <w:shd w:fill="FFFFFF"/>
            <w:vAlign w:val="center"/>
          </w:tcPr>
          <w:p>
            <w:pPr>
              <w:spacing w:before="0" w:after="0"/>
              <w:jc w:val="right"/>
            </w:pPr>
            <w:r>
              <w:rPr>
                <w:color w:val="202426"/>
                <w:sz w:val="15"/>
              </w:rPr>
              <w:t>3.5</w:t>
            </w:r>
          </w:p>
        </w:tc>
        <w:tc>
          <w:tcPr>
            <w:tcW w:type="dxa" w:w="964"/>
            <w:tcMar>
              <w:top w:w="80" w:type="dxa"/>
              <w:bottom w:w="80" w:type="dxa"/>
              <w:left w:w="80" w:type="dxa"/>
              <w:right w:w="80" w:type="dxa"/>
            </w:tcMar>
            <w:shd w:fill="FFFFFF"/>
            <w:vAlign w:val="center"/>
          </w:tcPr>
          <w:p>
            <w:pPr>
              <w:spacing w:before="0" w:after="0"/>
              <w:jc w:val="right"/>
            </w:pPr>
            <w:r>
              <w:rPr>
                <w:color w:val="202426"/>
                <w:sz w:val="15"/>
              </w:rPr>
              <w:t>3.5</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+0.14</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907"/>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1814"/>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134"/>
            <w:tcMar>
              <w:top w:w="80" w:type="dxa"/>
              <w:bottom w:w="80" w:type="dxa"/>
              <w:left w:w="80" w:type="dxa"/>
              <w:right w:w="80" w:type="dxa"/>
            </w:tcMar>
            <w:shd w:fill="F4F5F6"/>
            <w:vAlign w:val="center"/>
          </w:tcPr>
          <w:p>
            <w:pPr>
              <w:spacing w:before="0" w:after="0"/>
              <w:jc w:val="right"/>
            </w:pPr>
            <w:r>
              <w:rPr>
                <w:color w:val="202426"/>
                <w:sz w:val="15"/>
              </w:rPr>
              <w:t>17.9 % Gap</w:t>
            </w:r>
          </w:p>
        </w:tc>
        <w:tc>
          <w:tcPr>
            <w:tcW w:type="dxa" w:w="1020"/>
            <w:tcMar>
              <w:top w:w="80" w:type="dxa"/>
              <w:bottom w:w="80" w:type="dxa"/>
              <w:left w:w="80" w:type="dxa"/>
              <w:right w:w="80" w:type="dxa"/>
            </w:tcMar>
            <w:shd w:fill="F4F5F6"/>
            <w:vAlign w:val="center"/>
          </w:tcPr>
          <w:p>
            <w:pPr>
              <w:spacing w:before="0" w:after="0"/>
              <w:jc w:val="right"/>
            </w:pPr>
            <w:r>
              <w:rPr>
                <w:color w:val="202426"/>
                <w:sz w:val="15"/>
              </w:rPr>
              <w:t>9.6</w:t>
            </w:r>
          </w:p>
        </w:tc>
        <w:tc>
          <w:tcPr>
            <w:tcW w:type="dxa" w:w="964"/>
            <w:tcMar>
              <w:top w:w="80" w:type="dxa"/>
              <w:bottom w:w="80" w:type="dxa"/>
              <w:left w:w="80" w:type="dxa"/>
              <w:right w:w="80" w:type="dxa"/>
            </w:tcMar>
            <w:shd w:fill="F4F5F6"/>
            <w:vAlign w:val="center"/>
          </w:tcPr>
          <w:p>
            <w:pPr>
              <w:spacing w:before="0" w:after="0"/>
              <w:jc w:val="right"/>
            </w:pPr>
            <w:r>
              <w:rPr>
                <w:color w:val="202426"/>
                <w:sz w:val="15"/>
              </w:rPr>
              <w:t>10.5</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+0.79</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907"/>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1814"/>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134"/>
            <w:tcMar>
              <w:top w:w="80" w:type="dxa"/>
              <w:bottom w:w="80" w:type="dxa"/>
              <w:left w:w="80" w:type="dxa"/>
              <w:right w:w="80" w:type="dxa"/>
            </w:tcMar>
            <w:shd w:fill="FFFFFF"/>
            <w:vAlign w:val="center"/>
          </w:tcPr>
          <w:p>
            <w:pPr>
              <w:spacing w:before="0" w:after="0"/>
              <w:jc w:val="right"/>
            </w:pPr>
            <w:r>
              <w:rPr>
                <w:color w:val="202426"/>
                <w:sz w:val="15"/>
              </w:rPr>
              <w:t>160 Izin</w:t>
            </w:r>
          </w:p>
        </w:tc>
        <w:tc>
          <w:tcPr>
            <w:tcW w:type="dxa" w:w="1020"/>
            <w:tcMar>
              <w:top w:w="80" w:type="dxa"/>
              <w:bottom w:w="80" w:type="dxa"/>
              <w:left w:w="80" w:type="dxa"/>
              <w:right w:w="80" w:type="dxa"/>
            </w:tcMar>
            <w:shd w:fill="FFFFFF"/>
            <w:vAlign w:val="center"/>
          </w:tcPr>
          <w:p>
            <w:pPr>
              <w:spacing w:before="0" w:after="0"/>
              <w:jc w:val="right"/>
            </w:pPr>
            <w:r>
              <w:rPr>
                <w:color w:val="202426"/>
                <w:sz w:val="15"/>
              </w:rPr>
              <w:t>95.7</w:t>
            </w:r>
          </w:p>
        </w:tc>
        <w:tc>
          <w:tcPr>
            <w:tcW w:type="dxa" w:w="964"/>
            <w:tcMar>
              <w:top w:w="80" w:type="dxa"/>
              <w:bottom w:w="80" w:type="dxa"/>
              <w:left w:w="80" w:type="dxa"/>
              <w:right w:w="80" w:type="dxa"/>
            </w:tcMar>
            <w:shd w:fill="FFFFFF"/>
            <w:vAlign w:val="center"/>
          </w:tcPr>
          <w:p>
            <w:pPr>
              <w:spacing w:before="0" w:after="0"/>
              <w:jc w:val="right"/>
            </w:pPr>
            <w:r>
              <w:rPr>
                <w:color w:val="202426"/>
                <w:sz w:val="15"/>
              </w:rPr>
              <w:t>100.3</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+0.64</w:t>
            </w:r>
          </w:p>
        </w:tc>
        <w:tc>
          <w:tcPr>
            <w:tcW w:type="dxa" w:w="850"/>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907"/>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850"/>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1814"/>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134"/>
            <w:tcMar>
              <w:top w:w="80" w:type="dxa"/>
              <w:bottom w:w="80" w:type="dxa"/>
              <w:left w:w="80" w:type="dxa"/>
              <w:right w:w="80" w:type="dxa"/>
            </w:tcMar>
            <w:shd w:fill="F4F5F6"/>
            <w:vAlign w:val="center"/>
          </w:tcPr>
          <w:p>
            <w:pPr>
              <w:spacing w:before="0" w:after="0"/>
              <w:jc w:val="right"/>
            </w:pPr>
            <w:r>
              <w:rPr>
                <w:color w:val="202426"/>
                <w:sz w:val="15"/>
              </w:rPr>
              <w:t>1 Korporasi</w:t>
            </w:r>
          </w:p>
        </w:tc>
        <w:tc>
          <w:tcPr>
            <w:tcW w:type="dxa" w:w="1020"/>
            <w:tcMar>
              <w:top w:w="80" w:type="dxa"/>
              <w:bottom w:w="80" w:type="dxa"/>
              <w:left w:w="80" w:type="dxa"/>
              <w:right w:w="80" w:type="dxa"/>
            </w:tcMar>
            <w:shd w:fill="F4F5F6"/>
            <w:vAlign w:val="center"/>
          </w:tcPr>
          <w:p>
            <w:pPr>
              <w:spacing w:before="0" w:after="0"/>
              <w:jc w:val="right"/>
            </w:pPr>
            <w:r>
              <w:rPr>
                <w:color w:val="202426"/>
                <w:sz w:val="15"/>
              </w:rPr>
              <w:t>2.7</w:t>
            </w:r>
          </w:p>
        </w:tc>
        <w:tc>
          <w:tcPr>
            <w:tcW w:type="dxa" w:w="964"/>
            <w:tcMar>
              <w:top w:w="80" w:type="dxa"/>
              <w:bottom w:w="80" w:type="dxa"/>
              <w:left w:w="80" w:type="dxa"/>
              <w:right w:w="80" w:type="dxa"/>
            </w:tcMar>
            <w:shd w:fill="F4F5F6"/>
            <w:vAlign w:val="center"/>
          </w:tcPr>
          <w:p>
            <w:pPr>
              <w:spacing w:before="0" w:after="0"/>
              <w:jc w:val="right"/>
            </w:pPr>
            <w:r>
              <w:rPr>
                <w:color w:val="202426"/>
                <w:sz w:val="15"/>
              </w:rPr>
              <w:t>3.7</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-0.45</w:t>
            </w:r>
          </w:p>
        </w:tc>
        <w:tc>
          <w:tcPr>
            <w:tcW w:type="dxa" w:w="850"/>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907"/>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6.15: Rekapitulasi Skor 5 Pilar &amp; Status Ekologis Komposit Provinsi Sulawesi Tenggara</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Sultra</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(1.900 MW), NO2 (6.6e-6), ISPA (0.91x), B3 (6.5 Jt Ton), CO2 (189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Emisi Smelter Morosi/VDNI &amp; Peningkatan NO2 Satelit</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(65.32), Diare (1.11x), Tailing (6.5 Jt Ton), Konflik Pesisir (5 Kasus)</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2.8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Sedimentasi Tailing Pesisir &amp; Konflik Ruang Tangkap Nelayan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(158), Deforestasi (337k Ha), Lindung (8.2k Ha), Kepadatan IUP (11.72%)</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3.6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Outlier Kepadatan Konsesi Tambang Nikel Terpadat Se-Sulawesi</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(5 Kasus), Korban (39.821 Jiwa), Kriminalisasi (4 Insiden), Gap SPA (17.9%)</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4.5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Krisis Kemanusiaan &amp; Perampasan Ruang Hidup Terparah Se-Sulawesi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(160 IUP Baru), Korporat Ilegal (1 Perusahaan), Ekspansi Smelter</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3.0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Obral Izin Tambang Nikel Baru Pasca-2014 di Pesisir &amp; Pulau</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SULTRA</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3.4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Mendekati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AMBANG BATAS: KRISIS RUANG HIDUP &amp; KEPADATAN IUP</w:t>
            </w:r>
          </w:p>
        </w:tc>
      </w:tr>
    </w:tbl>
    <w:p>
      <w:pPr>
        <w:spacing w:before="0" w:after="120"/>
      </w:pPr>
    </w:p>
    <w:p>
      <w:pPr>
        <w:keepNext/>
        <w:spacing w:before="160" w:after="60"/>
      </w:pPr>
      <w:r>
        <w:rPr>
          <w:b/>
          <w:color w:val="143642"/>
          <w:sz w:val="19"/>
        </w:rPr>
        <w:t>E. Analisis Temuan Empiris (Sultra)</w:t>
      </w:r>
    </w:p>
    <w:p>
      <w:pPr>
        <w:spacing w:before="0" w:after="100" w:line="276" w:lineRule="auto"/>
      </w:pPr>
      <w:r>
        <w:rPr>
          <w:b/>
          <w:i w:val="0"/>
          <w:color w:val="202426"/>
          <w:sz w:val="18"/>
        </w:rPr>
        <w:t xml:space="preserve">1. </w:t>
      </w:r>
      <w:r>
        <w:rPr>
          <w:b/>
          <w:i w:val="0"/>
          <w:color w:val="202426"/>
          <w:sz w:val="18"/>
        </w:rPr>
        <w:t xml:space="preserve">Daya Tampung Udara (Skor 3.1 / 5 — Mendekati Batas): </w:t>
      </w:r>
      <w:r>
        <w:rPr>
          <w:b w:val="0"/>
          <w:i w:val="0"/>
          <w:color w:val="202426"/>
          <w:sz w:val="18"/>
        </w:rPr>
        <w:t>Kapasitas PLTU captive beroperasi mencapai 1.900,0 MW (Z = +0.09σ), konsentrasi gas NO2 troposferik 6,62e-06 mol/m² (Z = +0.82σ, Likert 4.0), dan pelepasan emisi karbon deforestasi 189,02 Juta Ton CO2e (Z = +0.59σ, Likert 4.0). Tekanan polusi terkonsentrasi di kawasan industri Morosi (Konawe).</w:t>
        <w:br/>
      </w:r>
      <w:r>
        <w:rPr>
          <w:b/>
          <w:i w:val="0"/>
          <w:color w:val="202426"/>
          <w:sz w:val="18"/>
        </w:rPr>
        <w:t xml:space="preserve">2. </w:t>
      </w:r>
      <w:r>
        <w:rPr>
          <w:b/>
          <w:i w:val="0"/>
          <w:color w:val="202426"/>
          <w:sz w:val="18"/>
        </w:rPr>
        <w:t xml:space="preserve">Daya Tampung Air (Skor 2.8 / 5 — Mendekati Batas): </w:t>
      </w:r>
      <w:r>
        <w:rPr>
          <w:b w:val="0"/>
          <w:i w:val="0"/>
          <w:color w:val="202426"/>
          <w:sz w:val="18"/>
        </w:rPr>
        <w:t>Meskipun IKA sungai bernilai 65,32, tercatat timbulan tailing dan slag 6,52 Juta Ton (Z = +0.12σ) serta meletusnya 5 kasus sengketa ruang tangkap laut antara nelayan pesisir dan armada tongkang tambang (Z = +0.87σ, Likert 4.0).</w:t>
        <w:br/>
      </w:r>
      <w:r>
        <w:rPr>
          <w:b/>
          <w:i w:val="0"/>
          <w:color w:val="202426"/>
          <w:sz w:val="18"/>
        </w:rPr>
        <w:t xml:space="preserve">3. </w:t>
      </w:r>
      <w:r>
        <w:rPr>
          <w:b/>
          <w:i w:val="0"/>
          <w:color w:val="202426"/>
          <w:sz w:val="18"/>
        </w:rPr>
        <w:t xml:space="preserve">Daya Dukung Lahan (Skor 3.6 / 5 — Melampaui Batas): </w:t>
      </w:r>
      <w:r>
        <w:rPr>
          <w:b w:val="0"/>
          <w:i w:val="0"/>
          <w:color w:val="202426"/>
          <w:sz w:val="18"/>
        </w:rPr>
        <w:t>Ditemukan anomali ekstrem pada Kepadatan Konsesi IUP yang mencaplok 11,72% dari total daratan daratan provinsi (Z = +1.50σ, Likert 5.0 - Outlier Tertinggi se-Sulawesi), menyebabkan 337.434 Ha deforestasi hutan primer (Z = +0.67σ) dan perambahan 8.236 Ha hutan lindung.</w:t>
        <w:br/>
      </w:r>
      <w:r>
        <w:rPr>
          <w:b/>
          <w:i w:val="0"/>
          <w:color w:val="202426"/>
          <w:sz w:val="18"/>
        </w:rPr>
        <w:t xml:space="preserve">4. </w:t>
      </w:r>
      <w:r>
        <w:rPr>
          <w:b/>
          <w:i w:val="0"/>
          <w:color w:val="202426"/>
          <w:sz w:val="18"/>
        </w:rPr>
        <w:t xml:space="preserve">Daya Dukung Sosial (Skor 4.5 / 5 — Melampaui Batas): </w:t>
      </w:r>
      <w:r>
        <w:rPr>
          <w:b w:val="0"/>
          <w:i w:val="0"/>
          <w:color w:val="202426"/>
          <w:sz w:val="18"/>
        </w:rPr>
        <w:t>Sulawesi Tenggara mencatat krisis sosial terparah di seluruh bioregion Pulau Sulawesi. Sebanyak 39.821 jiwa warga terancam kehilangan ruang hidup (Z = +1.95σ, Likert 5.0), terjadi 5 kasus manipulasi persetujuan FPIC (Z = +1.86σ, Likert 5.0), 4 insiden kriminalisasi aktivis, dan defisit fasilitas SPA Puskesmas sebesar 17,92% (Z = +0.79σ, Likert 4.0).</w:t>
        <w:br/>
      </w:r>
      <w:r>
        <w:rPr>
          <w:b/>
          <w:i w:val="0"/>
          <w:color w:val="202426"/>
          <w:sz w:val="18"/>
        </w:rPr>
        <w:t xml:space="preserve">5. </w:t>
      </w:r>
      <w:r>
        <w:rPr>
          <w:b/>
          <w:i w:val="0"/>
          <w:color w:val="202426"/>
          <w:sz w:val="18"/>
        </w:rPr>
        <w:t xml:space="preserve">Veto Kebijakan (Skor 3.0 / 5 — Mendekati Batas): </w:t>
      </w:r>
      <w:r>
        <w:rPr>
          <w:b w:val="0"/>
          <w:i w:val="0"/>
          <w:color w:val="202426"/>
          <w:sz w:val="18"/>
        </w:rPr>
        <w:t>Diterbitkan 160 IUP baru pasca-2014 (Z = +0.64σ, Likert 4.0), memperparah pengkapalan bijih nikel ilegal di pulau-pulau kecil.</w:t>
        <w:br/>
      </w:r>
      <w:r>
        <w:rPr>
          <w:b/>
          <w:i w:val="0"/>
          <w:color w:val="202426"/>
          <w:sz w:val="18"/>
        </w:rPr>
        <w:t xml:space="preserve">6. </w:t>
      </w:r>
      <w:r>
        <w:rPr>
          <w:b/>
          <w:i w:val="0"/>
          <w:color w:val="202426"/>
          <w:sz w:val="18"/>
        </w:rPr>
        <w:t xml:space="preserve">Vonis Komposit Sulawesi Tenggara (Skor 3.4 / 5.0 — Mendekati Batas): </w:t>
      </w:r>
      <w:r>
        <w:rPr>
          <w:b w:val="0"/>
          <w:i w:val="0"/>
          <w:color w:val="202426"/>
          <w:sz w:val="18"/>
        </w:rPr>
        <w:t>Secara agregat, Sulawesi Tenggara memperoleh Skor Komposit 3.4 / 5.0 (Ekuivalen WSM 6.78 / 10.0) dengan status MENDEKATI BATAS. Namun, pengujian forensik membuktikan bahwa Pilar Daya Dukung Sosial (4.5 / 5) dan Kepadatan Konsesi Tambang (11,72%) telah berada pada status RED ALERT (MELAMPAUI BATAS EKSTREM).</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